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60" w:lineRule="exact"/>
        <w:ind w:firstLine="720" w:firstLineChars="200"/>
        <w:jc w:val="center"/>
        <w:rPr>
          <w:rFonts w:hint="default" w:ascii="Times New Roman" w:hAnsi="Times New Roman" w:eastAsia="方正小标宋简体" w:cs="Times New Roman"/>
          <w:color w:val="auto"/>
          <w:sz w:val="36"/>
          <w:szCs w:val="36"/>
          <w:highlight w:val="none"/>
        </w:rPr>
      </w:pPr>
      <w:r>
        <w:rPr>
          <w:rFonts w:hint="default" w:ascii="Times New Roman" w:hAnsi="Times New Roman" w:eastAsia="方正小标宋简体" w:cs="Times New Roman"/>
          <w:color w:val="auto"/>
          <w:sz w:val="36"/>
          <w:szCs w:val="36"/>
          <w:highlight w:val="none"/>
        </w:rPr>
        <w:t>克拉玛依市自然资源领域社会信用管理办法</w:t>
      </w:r>
    </w:p>
    <w:p>
      <w:pPr>
        <w:pStyle w:val="2"/>
        <w:spacing w:after="0" w:line="560" w:lineRule="exact"/>
        <w:ind w:firstLine="720" w:firstLineChars="200"/>
        <w:jc w:val="center"/>
        <w:rPr>
          <w:rFonts w:hint="default" w:ascii="Times New Roman" w:hAnsi="Times New Roman" w:eastAsia="方正小标宋简体" w:cs="Times New Roman"/>
          <w:color w:val="auto"/>
          <w:sz w:val="32"/>
          <w:szCs w:val="32"/>
          <w:highlight w:val="none"/>
          <w:lang w:eastAsia="zh-CN"/>
        </w:rPr>
      </w:pPr>
      <w:r>
        <w:rPr>
          <w:rFonts w:hint="default" w:ascii="Times New Roman" w:hAnsi="Times New Roman" w:eastAsia="方正小标宋简体" w:cs="Times New Roman"/>
          <w:color w:val="auto"/>
          <w:sz w:val="36"/>
          <w:szCs w:val="36"/>
          <w:highlight w:val="none"/>
          <w:lang w:eastAsia="zh-CN"/>
        </w:rPr>
        <w:t>（行政规范性文件，草案）</w:t>
      </w:r>
    </w:p>
    <w:p>
      <w:pPr>
        <w:pStyle w:val="2"/>
        <w:spacing w:before="157" w:beforeLines="50" w:after="157" w:afterLines="50" w:line="560" w:lineRule="exact"/>
        <w:ind w:firstLine="0" w:firstLineChars="0"/>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第一章  总则</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第一条</w:t>
      </w:r>
      <w:r>
        <w:rPr>
          <w:rFonts w:hint="default" w:ascii="Times New Roman" w:hAnsi="Times New Roman" w:eastAsia="仿宋_GB2312" w:cs="Times New Roman"/>
          <w:color w:val="auto"/>
          <w:sz w:val="32"/>
          <w:szCs w:val="32"/>
          <w:highlight w:val="none"/>
        </w:rPr>
        <w:t>【目的依据】为进一步规范本市自然资源领域信用管理工作，根据《国务院办公厅关于加快推进社会信用体系建设构建以信用为基础的新型监管机制的指导意见》(国办发〔2019〕35号)、《新疆维吾尔自治区社会信用条例》等文件规定，结合实际，制定本办法。</w:t>
      </w:r>
    </w:p>
    <w:p>
      <w:pPr>
        <w:pStyle w:val="2"/>
        <w:widowControl/>
        <w:shd w:val="clear" w:color="auto" w:fill="FFFFFF"/>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第二条</w:t>
      </w:r>
      <w:r>
        <w:rPr>
          <w:rFonts w:hint="default" w:ascii="Times New Roman" w:hAnsi="Times New Roman" w:eastAsia="仿宋_GB2312" w:cs="Times New Roman"/>
          <w:color w:val="auto"/>
          <w:sz w:val="32"/>
          <w:szCs w:val="32"/>
          <w:highlight w:val="none"/>
        </w:rPr>
        <w:t>【适用范围】</w:t>
      </w:r>
      <w:r>
        <w:rPr>
          <w:rFonts w:hint="default" w:ascii="Times New Roman" w:hAnsi="Times New Roman" w:eastAsia="仿宋_GB2312" w:cs="Times New Roman"/>
          <w:color w:val="auto"/>
          <w:sz w:val="32"/>
          <w:szCs w:val="32"/>
          <w:highlight w:val="none"/>
          <w:shd w:val="clear" w:color="auto" w:fill="FFFFFF"/>
        </w:rPr>
        <w:t>本办法适用于本市行政区域范围内自然资源领域社会信用信息的</w:t>
      </w:r>
      <w:r>
        <w:rPr>
          <w:rFonts w:hint="default" w:ascii="Times New Roman" w:hAnsi="Times New Roman" w:eastAsia="仿宋_GB2312" w:cs="Times New Roman"/>
          <w:color w:val="auto"/>
          <w:sz w:val="32"/>
          <w:szCs w:val="32"/>
          <w:highlight w:val="none"/>
        </w:rPr>
        <w:t>采集、归集、评价、管理、修复等管理</w:t>
      </w:r>
      <w:r>
        <w:rPr>
          <w:rFonts w:hint="default" w:ascii="Times New Roman" w:hAnsi="Times New Roman" w:eastAsia="仿宋_GB2312" w:cs="Times New Roman"/>
          <w:color w:val="auto"/>
          <w:sz w:val="32"/>
          <w:szCs w:val="32"/>
          <w:highlight w:val="none"/>
          <w:lang w:eastAsia="zh-CN"/>
        </w:rPr>
        <w:t>工作</w:t>
      </w:r>
      <w:r>
        <w:rPr>
          <w:rFonts w:hint="default" w:ascii="Times New Roman" w:hAnsi="Times New Roman" w:eastAsia="仿宋_GB2312" w:cs="Times New Roman"/>
          <w:color w:val="auto"/>
          <w:sz w:val="32"/>
          <w:szCs w:val="32"/>
          <w:highlight w:val="none"/>
          <w:shd w:val="clear" w:color="auto" w:fill="FFFFFF"/>
        </w:rPr>
        <w:t>。</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第三条</w:t>
      </w:r>
      <w:r>
        <w:rPr>
          <w:rFonts w:hint="default" w:ascii="Times New Roman" w:hAnsi="Times New Roman" w:eastAsia="仿宋_GB2312" w:cs="Times New Roman"/>
          <w:color w:val="auto"/>
          <w:sz w:val="32"/>
          <w:szCs w:val="32"/>
          <w:highlight w:val="none"/>
        </w:rPr>
        <w:t>【信用</w:t>
      </w:r>
      <w:r>
        <w:rPr>
          <w:rFonts w:hint="default" w:ascii="Times New Roman" w:hAnsi="Times New Roman" w:eastAsia="仿宋_GB2312" w:cs="Times New Roman"/>
          <w:color w:val="auto"/>
          <w:sz w:val="32"/>
          <w:szCs w:val="32"/>
          <w:highlight w:val="none"/>
          <w:shd w:val="clear" w:color="auto" w:fill="FFFFFF"/>
        </w:rPr>
        <w:t>信息</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shd w:val="clear" w:color="auto" w:fill="FFFFFF"/>
        </w:rPr>
        <w:t>本办法所称的信用信息，是指自然人、法人和非法人组织（以下简称</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信用主体</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）在</w:t>
      </w:r>
      <w:r>
        <w:rPr>
          <w:rFonts w:hint="default" w:ascii="Times New Roman" w:hAnsi="Times New Roman" w:eastAsia="仿宋_GB2312" w:cs="Times New Roman"/>
          <w:color w:val="auto"/>
          <w:sz w:val="32"/>
          <w:szCs w:val="32"/>
          <w:highlight w:val="none"/>
        </w:rPr>
        <w:t>土地、矿产、国土空间规划、测绘地理信息、不动产登记、生态修复、自然资源中介服务等</w:t>
      </w:r>
      <w:r>
        <w:rPr>
          <w:rFonts w:hint="default" w:ascii="Times New Roman" w:hAnsi="Times New Roman" w:eastAsia="仿宋_GB2312" w:cs="Times New Roman"/>
          <w:color w:val="auto"/>
          <w:sz w:val="32"/>
          <w:szCs w:val="32"/>
          <w:highlight w:val="none"/>
          <w:shd w:val="clear" w:color="auto" w:fill="FFFFFF"/>
        </w:rPr>
        <w:t>自然资源领域的社会服务和经济活动中的基本信息，履行法定义务、约定义务的行为状态的客观</w:t>
      </w:r>
      <w:bookmarkStart w:id="0" w:name="_GoBack"/>
      <w:bookmarkEnd w:id="0"/>
      <w:r>
        <w:rPr>
          <w:rFonts w:hint="default" w:ascii="Times New Roman" w:hAnsi="Times New Roman" w:eastAsia="仿宋_GB2312" w:cs="Times New Roman"/>
          <w:color w:val="auto"/>
          <w:sz w:val="32"/>
          <w:szCs w:val="32"/>
          <w:highlight w:val="none"/>
          <w:shd w:val="clear" w:color="auto" w:fill="FFFFFF"/>
        </w:rPr>
        <w:t>数据和违法违规违约信息，以及行业主管部门在履行法定职责、提供公共服务和监督管理工作中产生的监督检查信息等。</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第四条</w:t>
      </w:r>
      <w:r>
        <w:rPr>
          <w:rFonts w:hint="default" w:ascii="Times New Roman" w:hAnsi="Times New Roman" w:eastAsia="仿宋_GB2312" w:cs="Times New Roman"/>
          <w:color w:val="auto"/>
          <w:sz w:val="32"/>
          <w:szCs w:val="32"/>
          <w:highlight w:val="none"/>
        </w:rPr>
        <w:t>【工作原则】自然资源领域信用管理应当遵循</w:t>
      </w:r>
      <w:r>
        <w:rPr>
          <w:rFonts w:hint="default" w:ascii="Times New Roman" w:hAnsi="Times New Roman" w:eastAsia="仿宋_GB2312" w:cs="Times New Roman"/>
          <w:color w:val="auto"/>
          <w:sz w:val="32"/>
          <w:szCs w:val="32"/>
          <w:highlight w:val="none"/>
          <w:lang w:eastAsia="zh-CN"/>
        </w:rPr>
        <w:t>真实、准确、及时、有效的</w:t>
      </w:r>
      <w:r>
        <w:rPr>
          <w:rFonts w:hint="default" w:ascii="Times New Roman" w:hAnsi="Times New Roman" w:eastAsia="仿宋_GB2312" w:cs="Times New Roman"/>
          <w:color w:val="auto"/>
          <w:sz w:val="32"/>
          <w:szCs w:val="32"/>
          <w:highlight w:val="none"/>
        </w:rPr>
        <w:t>原则，维护信用主体的合法权益，不得损害国家和社会公共利益，不得泄露国家秘密和商业秘密，不得侵犯个人隐私。</w:t>
      </w:r>
    </w:p>
    <w:p>
      <w:pPr>
        <w:pStyle w:val="2"/>
        <w:widowControl/>
        <w:spacing w:before="157" w:beforeLines="50" w:after="157" w:afterLines="50" w:line="56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第二章  信用信息采集归集</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kern w:val="2"/>
          <w:sz w:val="32"/>
          <w:szCs w:val="32"/>
          <w:highlight w:val="none"/>
        </w:rPr>
        <w:t>第</w:t>
      </w:r>
      <w:r>
        <w:rPr>
          <w:rFonts w:hint="default" w:ascii="Times New Roman" w:hAnsi="Times New Roman" w:eastAsia="黑体" w:cs="Times New Roman"/>
          <w:color w:val="auto"/>
          <w:kern w:val="2"/>
          <w:sz w:val="32"/>
          <w:szCs w:val="32"/>
          <w:highlight w:val="none"/>
          <w:lang w:eastAsia="zh-CN"/>
        </w:rPr>
        <w:t>五</w:t>
      </w:r>
      <w:r>
        <w:rPr>
          <w:rFonts w:hint="default" w:ascii="Times New Roman" w:hAnsi="Times New Roman" w:eastAsia="黑体" w:cs="Times New Roman"/>
          <w:color w:val="auto"/>
          <w:kern w:val="2"/>
          <w:sz w:val="32"/>
          <w:szCs w:val="32"/>
          <w:highlight w:val="none"/>
        </w:rPr>
        <w:t>条</w:t>
      </w:r>
      <w:r>
        <w:rPr>
          <w:rFonts w:hint="default" w:ascii="Times New Roman" w:hAnsi="Times New Roman" w:eastAsia="仿宋_GB2312" w:cs="Times New Roman"/>
          <w:color w:val="auto"/>
          <w:sz w:val="32"/>
          <w:szCs w:val="32"/>
          <w:highlight w:val="none"/>
        </w:rPr>
        <w:t>【信息分类】</w:t>
      </w:r>
      <w:r>
        <w:rPr>
          <w:rFonts w:hint="default" w:ascii="Times New Roman" w:hAnsi="Times New Roman" w:eastAsia="仿宋_GB2312" w:cs="Times New Roman"/>
          <w:color w:val="auto"/>
          <w:sz w:val="32"/>
          <w:szCs w:val="32"/>
          <w:highlight w:val="none"/>
          <w:shd w:val="clear" w:color="auto" w:fill="FFFFFF"/>
        </w:rPr>
        <w:t>自然资源领域的信用信息包括:信用主体的基本信息、监督检查信息、违法违规违约信息等。</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基本信息包括：身份信息、历史信用、取得的行政许可情况等信息。</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监督检查信息包括：自然资源部门对信用主体的日常监督检查、专项检查、跟踪检查等过程中形成的结论信息。</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违法违规违约信息包括：信用主体违反自然资源领域法律、法规被行政处罚、行政强制等违法违规信息；以及违反资源出让合同、成交确认书或恶意竞争等违约行为。</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信用信息涉及国家秘密、国家安全、社会公共利益、商业秘密或者个人隐私的,应当依照法律、行政法规的规定办理。</w:t>
      </w:r>
      <w:r>
        <w:rPr>
          <w:rFonts w:hint="default" w:ascii="Times New Roman" w:hAnsi="Times New Roman" w:eastAsia="仿宋_GB2312" w:cs="Times New Roman"/>
          <w:color w:val="auto"/>
          <w:sz w:val="32"/>
          <w:szCs w:val="32"/>
          <w:highlight w:val="none"/>
        </w:rPr>
        <w:t xml:space="preserve">    </w:t>
      </w:r>
    </w:p>
    <w:p>
      <w:pPr>
        <w:pStyle w:val="2"/>
        <w:spacing w:after="0"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eastAsia="zh-CN"/>
        </w:rPr>
        <w:t>六</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【信息采集】</w:t>
      </w:r>
      <w:r>
        <w:rPr>
          <w:rFonts w:hint="default" w:ascii="Times New Roman" w:hAnsi="Times New Roman" w:eastAsia="仿宋_GB2312" w:cs="Times New Roman"/>
          <w:color w:val="auto"/>
          <w:sz w:val="32"/>
          <w:szCs w:val="32"/>
          <w:highlight w:val="none"/>
          <w:lang w:eastAsia="zh-CN"/>
        </w:rPr>
        <w:t>自然资源部门</w:t>
      </w:r>
      <w:r>
        <w:rPr>
          <w:rFonts w:hint="default" w:ascii="Times New Roman" w:hAnsi="Times New Roman" w:eastAsia="仿宋_GB2312" w:cs="Times New Roman"/>
          <w:color w:val="auto"/>
          <w:sz w:val="32"/>
          <w:szCs w:val="32"/>
          <w:highlight w:val="none"/>
        </w:rPr>
        <w:t>通过日常监管、行政审批、执法检查、信访举报等渠道，采集信用主体信用信息，确保信息真实、准确、完整、及时。</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eastAsia="zh-CN"/>
        </w:rPr>
        <w:t>七</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【信息归集】</w:t>
      </w:r>
      <w:r>
        <w:rPr>
          <w:rFonts w:hint="default" w:ascii="Times New Roman" w:hAnsi="Times New Roman" w:eastAsia="仿宋_GB2312" w:cs="Times New Roman"/>
          <w:color w:val="auto"/>
          <w:sz w:val="32"/>
          <w:szCs w:val="32"/>
          <w:highlight w:val="none"/>
          <w:lang w:eastAsia="zh-CN"/>
        </w:rPr>
        <w:t>市自然资源局及时将采集的</w:t>
      </w:r>
      <w:r>
        <w:rPr>
          <w:rFonts w:hint="default" w:ascii="Times New Roman" w:hAnsi="Times New Roman" w:eastAsia="仿宋_GB2312" w:cs="Times New Roman"/>
          <w:color w:val="auto"/>
          <w:sz w:val="32"/>
          <w:szCs w:val="32"/>
          <w:highlight w:val="none"/>
        </w:rPr>
        <w:t>信用信息统一登记入册，</w:t>
      </w:r>
      <w:r>
        <w:rPr>
          <w:rFonts w:hint="default" w:ascii="Times New Roman" w:hAnsi="Times New Roman" w:eastAsia="仿宋_GB2312" w:cs="Times New Roman"/>
          <w:color w:val="auto"/>
          <w:sz w:val="32"/>
          <w:szCs w:val="32"/>
          <w:highlight w:val="none"/>
          <w:lang w:eastAsia="zh-CN"/>
        </w:rPr>
        <w:t>根据工作需要可</w:t>
      </w:r>
      <w:r>
        <w:rPr>
          <w:rFonts w:hint="default" w:ascii="Times New Roman" w:hAnsi="Times New Roman" w:eastAsia="仿宋_GB2312" w:cs="Times New Roman"/>
          <w:color w:val="auto"/>
          <w:sz w:val="32"/>
          <w:szCs w:val="32"/>
          <w:highlight w:val="none"/>
        </w:rPr>
        <w:t xml:space="preserve">推送至“信用中国（新疆克拉玛依）”平台。                        </w:t>
      </w:r>
    </w:p>
    <w:p>
      <w:pPr>
        <w:pStyle w:val="2"/>
        <w:spacing w:before="157" w:beforeLines="50" w:after="157" w:afterLines="50" w:line="56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第三章 信用等级分类</w:t>
      </w:r>
    </w:p>
    <w:p>
      <w:pPr>
        <w:pStyle w:val="2"/>
        <w:spacing w:after="0"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eastAsia="zh-CN"/>
        </w:rPr>
        <w:t>八</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【信用等级】信用主体在自然资源领域信用等级分为四级：良好信用（A级）、轻微失信（B级）、一般失信（C级）、严重失信（D级）。</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黑体" w:cs="Times New Roman"/>
          <w:color w:val="auto"/>
          <w:kern w:val="2"/>
          <w:sz w:val="32"/>
          <w:szCs w:val="32"/>
          <w:highlight w:val="none"/>
          <w:u w:val="none"/>
        </w:rPr>
        <w:t>第</w:t>
      </w:r>
      <w:r>
        <w:rPr>
          <w:rFonts w:hint="default" w:ascii="Times New Roman" w:hAnsi="Times New Roman" w:eastAsia="黑体" w:cs="Times New Roman"/>
          <w:color w:val="auto"/>
          <w:kern w:val="2"/>
          <w:sz w:val="32"/>
          <w:szCs w:val="32"/>
          <w:highlight w:val="none"/>
          <w:u w:val="none"/>
          <w:lang w:eastAsia="zh-CN"/>
        </w:rPr>
        <w:t>九</w:t>
      </w:r>
      <w:r>
        <w:rPr>
          <w:rFonts w:hint="default" w:ascii="Times New Roman" w:hAnsi="Times New Roman" w:eastAsia="黑体" w:cs="Times New Roman"/>
          <w:color w:val="auto"/>
          <w:kern w:val="2"/>
          <w:sz w:val="32"/>
          <w:szCs w:val="32"/>
          <w:highlight w:val="none"/>
          <w:u w:val="none"/>
        </w:rPr>
        <w:t>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shd w:val="clear" w:color="auto" w:fill="FFFFFF"/>
        </w:rPr>
        <w:t>良好信用</w:t>
      </w:r>
      <w:r>
        <w:rPr>
          <w:rFonts w:hint="default" w:ascii="Times New Roman" w:hAnsi="Times New Roman" w:eastAsia="仿宋_GB2312" w:cs="Times New Roman"/>
          <w:color w:val="auto"/>
          <w:sz w:val="32"/>
          <w:szCs w:val="32"/>
          <w:highlight w:val="none"/>
          <w:u w:val="none"/>
        </w:rPr>
        <w:t>】信用主体在自然资源领域依法合规经营、主动履行义务、获得表彰奖励、信用评级优秀等正面信息，包括但不限于：严格遵守土地、矿产、国土空间规划、测绘地理信息、不动产登记、生态修复等法律法规，无违法违规记录；按时足额缴纳土地出让金、矿业权价款等相关费用；主动履行矿山生态修复、土地复垦、耕地保护等义务；在自然资源项目招投标、开发利用、政务服务中诚实守信，无违约行为；获得市级及以上自然资源领域诚信示范单位、优秀企业等表彰；其他依法依规可认定为守信的信息。</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黑体" w:cs="Times New Roman"/>
          <w:color w:val="auto"/>
          <w:kern w:val="2"/>
          <w:sz w:val="32"/>
          <w:szCs w:val="32"/>
          <w:highlight w:val="none"/>
          <w:u w:val="none"/>
        </w:rPr>
        <w:t>第十条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shd w:val="clear" w:color="auto" w:fill="FFFFFF"/>
        </w:rPr>
        <w:t>轻微失信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rPr>
        <w:t>指信用主体在自然资源领域参加市场经营或社会服务活动过程中具有下列行为之一的：</w:t>
      </w:r>
    </w:p>
    <w:p>
      <w:pPr>
        <w:pStyle w:val="7"/>
        <w:numPr>
          <w:ilvl w:val="0"/>
          <w:numId w:val="1"/>
        </w:numPr>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eastAsia="zh-CN"/>
        </w:rPr>
        <w:t>适用简易程序作出行政处罚的违法行为；</w:t>
      </w:r>
    </w:p>
    <w:p>
      <w:pPr>
        <w:pStyle w:val="7"/>
        <w:numPr>
          <w:ilvl w:val="-1"/>
          <w:numId w:val="0"/>
        </w:numPr>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轻微违法违规且及时整改、未造成危害后果；</w:t>
      </w:r>
    </w:p>
    <w:p>
      <w:pPr>
        <w:pStyle w:val="7"/>
        <w:numPr>
          <w:ilvl w:val="-1"/>
          <w:numId w:val="0"/>
        </w:numPr>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未按时报送相关材料、轻微违约且主动纠正</w:t>
      </w:r>
      <w:r>
        <w:rPr>
          <w:rFonts w:hint="default" w:ascii="Times New Roman" w:hAnsi="Times New Roman" w:eastAsia="仿宋_GB2312" w:cs="Times New Roman"/>
          <w:color w:val="auto"/>
          <w:sz w:val="32"/>
          <w:szCs w:val="32"/>
          <w:highlight w:val="none"/>
          <w:lang w:eastAsia="zh-CN"/>
        </w:rPr>
        <w:t>；</w:t>
      </w:r>
    </w:p>
    <w:p>
      <w:pPr>
        <w:pStyle w:val="7"/>
        <w:numPr>
          <w:ilvl w:val="-1"/>
          <w:numId w:val="0"/>
        </w:numPr>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法律法规及有关规定确定的其他</w:t>
      </w:r>
      <w:r>
        <w:rPr>
          <w:rFonts w:hint="default" w:ascii="Times New Roman" w:hAnsi="Times New Roman" w:eastAsia="仿宋_GB2312" w:cs="Times New Roman"/>
          <w:color w:val="auto"/>
          <w:sz w:val="32"/>
          <w:szCs w:val="32"/>
          <w:highlight w:val="none"/>
          <w:shd w:val="clear" w:color="auto" w:fill="FFFFFF"/>
          <w:lang w:eastAsia="zh-CN"/>
        </w:rPr>
        <w:t>轻微</w:t>
      </w:r>
      <w:r>
        <w:rPr>
          <w:rFonts w:hint="default" w:ascii="Times New Roman" w:hAnsi="Times New Roman" w:eastAsia="仿宋_GB2312" w:cs="Times New Roman"/>
          <w:color w:val="auto"/>
          <w:sz w:val="32"/>
          <w:szCs w:val="32"/>
          <w:highlight w:val="none"/>
          <w:shd w:val="clear" w:color="auto" w:fill="FFFFFF"/>
        </w:rPr>
        <w:t>失信行为。</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kern w:val="2"/>
          <w:sz w:val="32"/>
          <w:szCs w:val="32"/>
          <w:highlight w:val="none"/>
          <w:u w:val="none"/>
        </w:rPr>
        <w:t>第十</w:t>
      </w:r>
      <w:r>
        <w:rPr>
          <w:rFonts w:hint="default" w:ascii="Times New Roman" w:hAnsi="Times New Roman" w:eastAsia="黑体" w:cs="Times New Roman"/>
          <w:color w:val="auto"/>
          <w:kern w:val="2"/>
          <w:sz w:val="32"/>
          <w:szCs w:val="32"/>
          <w:highlight w:val="none"/>
          <w:u w:val="none"/>
          <w:lang w:eastAsia="zh-CN"/>
        </w:rPr>
        <w:t>一</w:t>
      </w:r>
      <w:r>
        <w:rPr>
          <w:rFonts w:hint="default" w:ascii="Times New Roman" w:hAnsi="Times New Roman" w:eastAsia="黑体" w:cs="Times New Roman"/>
          <w:color w:val="auto"/>
          <w:kern w:val="2"/>
          <w:sz w:val="32"/>
          <w:szCs w:val="32"/>
          <w:highlight w:val="none"/>
          <w:u w:val="none"/>
        </w:rPr>
        <w:t>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rPr>
        <w:t>一般失信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rPr>
        <w:t>指信用主体在自然资源领域参加市场经营或社会服务活动过程中具有下列行为之一的：</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（一）</w:t>
      </w:r>
      <w:r>
        <w:rPr>
          <w:rFonts w:hint="default" w:ascii="Times New Roman" w:hAnsi="Times New Roman" w:eastAsia="仿宋_GB2312" w:cs="Times New Roman"/>
          <w:color w:val="auto"/>
          <w:sz w:val="32"/>
          <w:szCs w:val="32"/>
          <w:highlight w:val="none"/>
          <w:shd w:val="clear" w:color="auto" w:fill="FFFFFF"/>
        </w:rPr>
        <w:t>未缴纳依法应当缴纳的资源出让价款、行政事业性收费，但未造成严重危害后果；</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（二）</w:t>
      </w:r>
      <w:r>
        <w:rPr>
          <w:rFonts w:hint="default" w:ascii="Times New Roman" w:hAnsi="Times New Roman" w:eastAsia="仿宋_GB2312" w:cs="Times New Roman"/>
          <w:color w:val="auto"/>
          <w:sz w:val="32"/>
          <w:szCs w:val="32"/>
          <w:highlight w:val="none"/>
          <w:shd w:val="clear" w:color="auto" w:fill="FFFFFF"/>
        </w:rPr>
        <w:t>在自然资源开发利用和规划建设活动中被刑事处罚、行政处罚、行政强制执行，但未造成严重危害后果；</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（三）</w:t>
      </w:r>
      <w:r>
        <w:rPr>
          <w:rFonts w:hint="default" w:ascii="Times New Roman" w:hAnsi="Times New Roman" w:eastAsia="仿宋_GB2312" w:cs="Times New Roman"/>
          <w:color w:val="auto"/>
          <w:sz w:val="32"/>
          <w:szCs w:val="32"/>
          <w:highlight w:val="none"/>
          <w:shd w:val="clear" w:color="auto" w:fill="FFFFFF"/>
        </w:rPr>
        <w:t>以欺骗、贿赂等不正当手段取得自然资源领域行政许可、行政确认、行政给付、行政奖励，但未造成严重危害后果；</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违反法律法规，提供虚假材料</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隐瞒真实情况，损害社会管理秩序和公共利益，未造成严重危害后果；</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（五）</w:t>
      </w:r>
      <w:r>
        <w:rPr>
          <w:rFonts w:hint="default" w:ascii="Times New Roman" w:hAnsi="Times New Roman" w:eastAsia="仿宋_GB2312" w:cs="Times New Roman"/>
          <w:color w:val="auto"/>
          <w:sz w:val="32"/>
          <w:szCs w:val="32"/>
          <w:highlight w:val="none"/>
          <w:shd w:val="clear" w:color="auto" w:fill="FFFFFF"/>
        </w:rPr>
        <w:t>未履行信用承诺或虚假承诺，但未造成严重危害后果；</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（六）</w:t>
      </w:r>
      <w:r>
        <w:rPr>
          <w:rFonts w:hint="default" w:ascii="Times New Roman" w:hAnsi="Times New Roman" w:eastAsia="仿宋_GB2312" w:cs="Times New Roman"/>
          <w:color w:val="auto"/>
          <w:sz w:val="32"/>
          <w:szCs w:val="32"/>
          <w:highlight w:val="none"/>
          <w:shd w:val="clear" w:color="auto" w:fill="FFFFFF"/>
        </w:rPr>
        <w:t>涉嫌恶意竞争扰乱招标、拍卖、挂牌交易规则，或造成资源闲置等未按资源出让合同的约定开发利用的，未造成严重危害后果；</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（七）</w:t>
      </w:r>
      <w:r>
        <w:rPr>
          <w:rFonts w:hint="default" w:ascii="Times New Roman" w:hAnsi="Times New Roman" w:eastAsia="仿宋_GB2312" w:cs="Times New Roman"/>
          <w:color w:val="auto"/>
          <w:sz w:val="32"/>
          <w:szCs w:val="32"/>
          <w:highlight w:val="none"/>
          <w:shd w:val="clear" w:color="auto" w:fill="FFFFFF"/>
        </w:rPr>
        <w:t>法律法规及有关规定确定的其他一般失信行为。</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u w:val="none"/>
        </w:rPr>
        <w:t>第十</w:t>
      </w: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rPr>
        <w:t>严重失</w:t>
      </w:r>
      <w:r>
        <w:rPr>
          <w:rFonts w:hint="default" w:ascii="Times New Roman" w:hAnsi="Times New Roman" w:eastAsia="仿宋_GB2312" w:cs="Times New Roman"/>
          <w:color w:val="auto"/>
          <w:sz w:val="32"/>
          <w:szCs w:val="32"/>
          <w:highlight w:val="none"/>
          <w:u w:val="none"/>
          <w:shd w:val="clear" w:color="auto" w:fill="FFFFFF"/>
        </w:rPr>
        <w:t>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rPr>
        <w:t>指信用主体在自然资源领域参加市场经营或社会服务活动过程中具有下列行为之一的：</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（一）</w:t>
      </w:r>
      <w:r>
        <w:rPr>
          <w:rFonts w:hint="default" w:ascii="Times New Roman" w:hAnsi="Times New Roman" w:eastAsia="仿宋_GB2312" w:cs="Times New Roman"/>
          <w:color w:val="auto"/>
          <w:sz w:val="32"/>
          <w:szCs w:val="32"/>
          <w:highlight w:val="none"/>
          <w:shd w:val="clear" w:color="auto" w:fill="FFFFFF"/>
        </w:rPr>
        <w:t>具有一般失信行为，严重危害人民群众身体健康和生命安全、严重破坏自然资源领域市场公平竞争秩序等造成严重危害后果；</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（二）</w:t>
      </w:r>
      <w:r>
        <w:rPr>
          <w:rFonts w:hint="default" w:ascii="Times New Roman" w:hAnsi="Times New Roman" w:eastAsia="仿宋_GB2312" w:cs="Times New Roman"/>
          <w:color w:val="auto"/>
          <w:sz w:val="32"/>
          <w:szCs w:val="32"/>
          <w:highlight w:val="none"/>
          <w:shd w:val="clear" w:color="auto" w:fill="FFFFFF"/>
        </w:rPr>
        <w:t>具有一般失信行为，经催告后拒不整改，或者具有履行能力但拒不履行法定或约定义务，情节严重的；</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（三）</w:t>
      </w:r>
      <w:r>
        <w:rPr>
          <w:rFonts w:hint="default" w:ascii="Times New Roman" w:hAnsi="Times New Roman" w:eastAsia="仿宋_GB2312" w:cs="Times New Roman"/>
          <w:color w:val="auto"/>
          <w:sz w:val="32"/>
          <w:szCs w:val="32"/>
          <w:highlight w:val="none"/>
          <w:shd w:val="clear" w:color="auto" w:fill="FFFFFF"/>
        </w:rPr>
        <w:t>一年内发生二次以上违法违规行为，被司法机关刑事处罚、行政机关依法查处、行政处罚或行政强制执行的；</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违法违规行为被查处或处罚，且主要负责人或相关事件直接责任人被依法追究刑事责任的；</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（五）</w:t>
      </w:r>
      <w:r>
        <w:rPr>
          <w:rFonts w:hint="default" w:ascii="Times New Roman" w:hAnsi="Times New Roman" w:eastAsia="仿宋_GB2312" w:cs="Times New Roman"/>
          <w:color w:val="auto"/>
          <w:sz w:val="32"/>
          <w:szCs w:val="32"/>
          <w:highlight w:val="none"/>
          <w:shd w:val="clear" w:color="auto" w:fill="FFFFFF"/>
        </w:rPr>
        <w:t>在其他领域被认定为严重失信行为，或被多部门列入联合惩戒名单；</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（六）</w:t>
      </w:r>
      <w:r>
        <w:rPr>
          <w:rFonts w:hint="default" w:ascii="Times New Roman" w:hAnsi="Times New Roman" w:eastAsia="仿宋_GB2312" w:cs="Times New Roman"/>
          <w:color w:val="auto"/>
          <w:sz w:val="32"/>
          <w:szCs w:val="32"/>
          <w:highlight w:val="none"/>
          <w:shd w:val="clear" w:color="auto" w:fill="FFFFFF"/>
        </w:rPr>
        <w:t>法律法规及有关规定确定的其他严重失信行为。</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rPr>
      </w:pPr>
      <w:r>
        <w:rPr>
          <w:rStyle w:val="11"/>
          <w:rFonts w:hint="default" w:ascii="Times New Roman" w:hAnsi="Times New Roman" w:eastAsia="黑体" w:cs="Times New Roman"/>
          <w:b w:val="0"/>
          <w:bCs w:val="0"/>
          <w:color w:val="auto"/>
          <w:sz w:val="32"/>
          <w:szCs w:val="32"/>
          <w:highlight w:val="none"/>
          <w:shd w:val="clear" w:color="auto" w:fill="FFFFFF"/>
        </w:rPr>
        <w:t>第十</w:t>
      </w:r>
      <w:r>
        <w:rPr>
          <w:rStyle w:val="11"/>
          <w:rFonts w:hint="default" w:ascii="Times New Roman" w:hAnsi="Times New Roman" w:eastAsia="黑体" w:cs="Times New Roman"/>
          <w:b w:val="0"/>
          <w:bCs w:val="0"/>
          <w:color w:val="auto"/>
          <w:sz w:val="32"/>
          <w:szCs w:val="32"/>
          <w:highlight w:val="none"/>
          <w:shd w:val="clear" w:color="auto" w:fill="FFFFFF"/>
          <w:lang w:eastAsia="zh-CN"/>
        </w:rPr>
        <w:t>三</w:t>
      </w:r>
      <w:r>
        <w:rPr>
          <w:rStyle w:val="11"/>
          <w:rFonts w:hint="default" w:ascii="Times New Roman" w:hAnsi="Times New Roman" w:eastAsia="黑体" w:cs="Times New Roman"/>
          <w:b w:val="0"/>
          <w:bCs w:val="0"/>
          <w:color w:val="auto"/>
          <w:sz w:val="32"/>
          <w:szCs w:val="32"/>
          <w:highlight w:val="none"/>
          <w:shd w:val="clear" w:color="auto" w:fill="FFFFFF"/>
        </w:rPr>
        <w:t>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shd w:val="clear" w:color="auto" w:fill="FFFFFF"/>
        </w:rPr>
        <w:t>信用等级认定</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lang w:eastAsia="zh-CN"/>
        </w:rPr>
        <w:t>自然资源部门</w:t>
      </w:r>
      <w:r>
        <w:rPr>
          <w:rFonts w:hint="default" w:ascii="Times New Roman" w:hAnsi="Times New Roman" w:eastAsia="仿宋_GB2312" w:cs="Times New Roman"/>
          <w:color w:val="auto"/>
          <w:sz w:val="32"/>
          <w:szCs w:val="32"/>
          <w:highlight w:val="none"/>
          <w:shd w:val="clear" w:color="auto" w:fill="FFFFFF"/>
        </w:rPr>
        <w:t>应当将采集到的社会信用信息按照信用等级分类标准综合分析。经调查核实后，对一般失信和严重失信行为提出信用等级认定意见，附认定理由和依据，按照程序作出认定，</w:t>
      </w:r>
      <w:r>
        <w:rPr>
          <w:rFonts w:hint="default" w:ascii="Times New Roman" w:hAnsi="Times New Roman" w:eastAsia="仿宋_GB2312" w:cs="Times New Roman"/>
          <w:color w:val="auto"/>
          <w:sz w:val="32"/>
          <w:szCs w:val="32"/>
          <w:highlight w:val="none"/>
          <w:lang w:eastAsia="zh-CN"/>
        </w:rPr>
        <w:t>应当</w:t>
      </w:r>
      <w:r>
        <w:rPr>
          <w:rFonts w:hint="default" w:ascii="Times New Roman" w:hAnsi="Times New Roman" w:eastAsia="仿宋_GB2312" w:cs="Times New Roman"/>
          <w:color w:val="auto"/>
          <w:sz w:val="32"/>
          <w:szCs w:val="32"/>
          <w:highlight w:val="none"/>
          <w:shd w:val="clear" w:color="auto" w:fill="FFFFFF"/>
          <w:lang w:eastAsia="zh-CN"/>
        </w:rPr>
        <w:t>书面告知</w:t>
      </w:r>
      <w:r>
        <w:rPr>
          <w:rFonts w:hint="default" w:ascii="Times New Roman" w:hAnsi="Times New Roman" w:eastAsia="仿宋_GB2312" w:cs="Times New Roman"/>
          <w:color w:val="auto"/>
          <w:sz w:val="32"/>
          <w:szCs w:val="32"/>
          <w:highlight w:val="none"/>
          <w:shd w:val="clear" w:color="auto" w:fill="FFFFFF"/>
        </w:rPr>
        <w:t>信</w:t>
      </w:r>
      <w:r>
        <w:rPr>
          <w:rFonts w:hint="default" w:ascii="Times New Roman" w:hAnsi="Times New Roman" w:eastAsia="仿宋_GB2312" w:cs="Times New Roman"/>
          <w:color w:val="auto"/>
          <w:sz w:val="32"/>
          <w:szCs w:val="32"/>
          <w:highlight w:val="none"/>
          <w:shd w:val="clear" w:color="auto" w:fill="FFFFFF"/>
        </w:rPr>
        <w:t>用主体。</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对已有生效的司法判决、仲裁、行政处罚、行政裁决等确定的失信行为，可以直接依据生效文书进行失信认定。</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Style w:val="11"/>
          <w:rFonts w:hint="default" w:ascii="Times New Roman" w:hAnsi="Times New Roman" w:eastAsia="黑体" w:cs="Times New Roman"/>
          <w:b w:val="0"/>
          <w:bCs w:val="0"/>
          <w:color w:val="auto"/>
          <w:sz w:val="32"/>
          <w:szCs w:val="32"/>
          <w:highlight w:val="none"/>
          <w:shd w:val="clear" w:color="auto" w:fill="FFFFFF"/>
        </w:rPr>
        <w:t>第十</w:t>
      </w:r>
      <w:r>
        <w:rPr>
          <w:rStyle w:val="11"/>
          <w:rFonts w:hint="default" w:ascii="Times New Roman" w:hAnsi="Times New Roman" w:eastAsia="黑体" w:cs="Times New Roman"/>
          <w:b w:val="0"/>
          <w:bCs w:val="0"/>
          <w:color w:val="auto"/>
          <w:sz w:val="32"/>
          <w:szCs w:val="32"/>
          <w:highlight w:val="none"/>
          <w:shd w:val="clear" w:color="auto" w:fill="FFFFFF"/>
          <w:lang w:eastAsia="zh-CN"/>
        </w:rPr>
        <w:t>四</w:t>
      </w:r>
      <w:r>
        <w:rPr>
          <w:rStyle w:val="11"/>
          <w:rFonts w:hint="default" w:ascii="Times New Roman" w:hAnsi="Times New Roman" w:eastAsia="黑体" w:cs="Times New Roman"/>
          <w:b w:val="0"/>
          <w:bCs w:val="0"/>
          <w:color w:val="auto"/>
          <w:sz w:val="32"/>
          <w:szCs w:val="32"/>
          <w:highlight w:val="none"/>
          <w:shd w:val="clear" w:color="auto" w:fill="FFFFFF"/>
        </w:rPr>
        <w:t>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rPr>
        <w:t>异议处理</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shd w:val="clear" w:color="auto" w:fill="FFFFFF"/>
        </w:rPr>
        <w:t>信用主体对信用信息等级初步认定有异议的，应当自收到拟告知书之日起5个工作日内向</w:t>
      </w:r>
      <w:r>
        <w:rPr>
          <w:rFonts w:hint="default" w:ascii="Times New Roman" w:hAnsi="Times New Roman" w:eastAsia="仿宋_GB2312" w:cs="Times New Roman"/>
          <w:color w:val="auto"/>
          <w:sz w:val="32"/>
          <w:szCs w:val="32"/>
          <w:highlight w:val="none"/>
          <w:shd w:val="clear" w:color="auto" w:fill="FFFFFF"/>
          <w:lang w:eastAsia="zh-CN"/>
        </w:rPr>
        <w:t>市自然资源局</w:t>
      </w:r>
      <w:r>
        <w:rPr>
          <w:rFonts w:hint="default" w:ascii="Times New Roman" w:hAnsi="Times New Roman" w:eastAsia="仿宋_GB2312" w:cs="Times New Roman"/>
          <w:color w:val="auto"/>
          <w:sz w:val="32"/>
          <w:szCs w:val="32"/>
          <w:highlight w:val="none"/>
          <w:shd w:val="clear" w:color="auto" w:fill="FFFFFF"/>
        </w:rPr>
        <w:t>提出书面异议申请，并提交相关证明材料、说明理由，也可以同时自行纠正整改。逾期异议的视为无异议。</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lang w:eastAsia="zh-CN"/>
        </w:rPr>
        <w:t>自然资源部门应</w:t>
      </w:r>
      <w:r>
        <w:rPr>
          <w:rFonts w:hint="default" w:ascii="Times New Roman" w:hAnsi="Times New Roman" w:eastAsia="仿宋_GB2312" w:cs="Times New Roman"/>
          <w:color w:val="auto"/>
          <w:sz w:val="32"/>
          <w:szCs w:val="32"/>
          <w:highlight w:val="none"/>
          <w:shd w:val="clear" w:color="auto" w:fill="FFFFFF"/>
        </w:rPr>
        <w:t>当在收到异议申请之日起5个工作日内开展信用核查，情况复杂或需要其他单位协助核查信息的可延长核查期限，但整个异议处理期限累计不得超过15个工作日。</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异议期间自行纠正整改、异议申请成立或不成立的，</w:t>
      </w:r>
      <w:r>
        <w:rPr>
          <w:rFonts w:hint="default" w:ascii="Times New Roman" w:hAnsi="Times New Roman" w:eastAsia="仿宋_GB2312" w:cs="Times New Roman"/>
          <w:color w:val="auto"/>
          <w:sz w:val="32"/>
          <w:szCs w:val="32"/>
          <w:highlight w:val="none"/>
          <w:shd w:val="clear" w:color="auto" w:fill="FFFFFF"/>
          <w:lang w:eastAsia="zh-CN"/>
        </w:rPr>
        <w:t>市自然资源局</w:t>
      </w:r>
      <w:r>
        <w:rPr>
          <w:rFonts w:hint="default" w:ascii="Times New Roman" w:hAnsi="Times New Roman" w:eastAsia="仿宋_GB2312" w:cs="Times New Roman"/>
          <w:color w:val="auto"/>
          <w:sz w:val="32"/>
          <w:szCs w:val="32"/>
          <w:highlight w:val="none"/>
          <w:shd w:val="clear" w:color="auto" w:fill="FFFFFF"/>
        </w:rPr>
        <w:t>应当根据信用核查结果及时确定或维持信用等级认定结果；自始无异议的，直接认定信用等级，</w:t>
      </w:r>
      <w:r>
        <w:rPr>
          <w:rFonts w:hint="default" w:ascii="Times New Roman" w:hAnsi="Times New Roman" w:eastAsia="仿宋_GB2312" w:cs="Times New Roman"/>
          <w:color w:val="auto"/>
          <w:sz w:val="32"/>
          <w:szCs w:val="32"/>
          <w:highlight w:val="none"/>
          <w:shd w:val="clear" w:color="auto" w:fill="FFFFFF"/>
          <w:lang w:eastAsia="zh-CN"/>
        </w:rPr>
        <w:t>应当书面告知信用主体。</w:t>
      </w:r>
      <w:r>
        <w:rPr>
          <w:rFonts w:hint="default" w:ascii="Times New Roman" w:hAnsi="Times New Roman" w:eastAsia="仿宋_GB2312" w:cs="Times New Roman"/>
          <w:color w:val="auto"/>
          <w:sz w:val="32"/>
          <w:szCs w:val="32"/>
          <w:highlight w:val="none"/>
          <w:lang w:eastAsia="zh-CN"/>
        </w:rPr>
        <w:t>根据工作需要</w:t>
      </w:r>
      <w:r>
        <w:rPr>
          <w:rFonts w:hint="default" w:ascii="Times New Roman" w:hAnsi="Times New Roman" w:eastAsia="仿宋_GB2312" w:cs="Times New Roman"/>
          <w:color w:val="auto"/>
          <w:sz w:val="32"/>
          <w:szCs w:val="32"/>
          <w:highlight w:val="none"/>
        </w:rPr>
        <w:t xml:space="preserve">推送“信用中国（新疆克拉玛依）”平台。    </w:t>
      </w:r>
    </w:p>
    <w:p>
      <w:pPr>
        <w:pStyle w:val="2"/>
        <w:spacing w:before="157" w:beforeLines="50" w:after="157" w:afterLines="50" w:line="640" w:lineRule="exact"/>
        <w:ind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第四章  信用分类管理</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w:t>
      </w:r>
      <w:r>
        <w:rPr>
          <w:rFonts w:hint="default" w:ascii="Times New Roman" w:hAnsi="Times New Roman" w:eastAsia="黑体" w:cs="Times New Roman"/>
          <w:color w:val="auto"/>
          <w:sz w:val="32"/>
          <w:szCs w:val="32"/>
          <w:highlight w:val="none"/>
          <w:lang w:eastAsia="zh-CN"/>
        </w:rPr>
        <w:t>五</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【A级管理】对信用等级为A级的信用主体，采取以下激励措施：</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（一）优先办理自然资源相关审批、许可、登记业务，简化材料、压缩时限，实行“容缺受理”“绿色通道”。优先保障用地、用矿指标。在自然资源领域公共资源交易中予以信用加分；</w:t>
      </w:r>
    </w:p>
    <w:p>
      <w:pPr>
        <w:pStyle w:val="2"/>
        <w:spacing w:after="0"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（二）日常监管、执法检查、项目验收中，减少检查频次，实行“无事不扰”；</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（三）在自然资源领域评优评先中，同等条件下列为优先选择</w:t>
      </w:r>
      <w:r>
        <w:rPr>
          <w:rFonts w:hint="default" w:ascii="Times New Roman" w:hAnsi="Times New Roman" w:eastAsia="仿宋_GB2312" w:cs="Times New Roman"/>
          <w:color w:val="auto"/>
          <w:sz w:val="32"/>
          <w:szCs w:val="32"/>
          <w:highlight w:val="none"/>
        </w:rPr>
        <w:t>对象；</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w:t>
      </w:r>
      <w:r>
        <w:rPr>
          <w:rFonts w:hint="default" w:ascii="Times New Roman" w:hAnsi="Times New Roman" w:eastAsia="仿宋_GB2312" w:cs="Times New Roman"/>
          <w:color w:val="auto"/>
          <w:sz w:val="32"/>
          <w:szCs w:val="32"/>
          <w:highlight w:val="none"/>
          <w:shd w:val="clear" w:color="auto" w:fill="FFFFFF"/>
        </w:rPr>
        <w:t>法律法规等</w:t>
      </w:r>
      <w:r>
        <w:rPr>
          <w:rFonts w:hint="default" w:ascii="Times New Roman" w:hAnsi="Times New Roman" w:eastAsia="仿宋_GB2312" w:cs="Times New Roman"/>
          <w:color w:val="auto"/>
          <w:sz w:val="32"/>
          <w:szCs w:val="32"/>
          <w:highlight w:val="none"/>
        </w:rPr>
        <w:t>规定的</w:t>
      </w:r>
      <w:r>
        <w:rPr>
          <w:rFonts w:hint="default" w:ascii="Times New Roman" w:hAnsi="Times New Roman" w:eastAsia="仿宋_GB2312" w:cs="Times New Roman"/>
          <w:color w:val="auto"/>
          <w:sz w:val="32"/>
          <w:szCs w:val="32"/>
          <w:highlight w:val="none"/>
        </w:rPr>
        <w:t>其他激励措施。</w:t>
      </w:r>
    </w:p>
    <w:p>
      <w:pPr>
        <w:pStyle w:val="7"/>
        <w:widowControl w:val="0"/>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黑体" w:cs="Times New Roman"/>
          <w:color w:val="auto"/>
          <w:sz w:val="32"/>
          <w:szCs w:val="32"/>
          <w:highlight w:val="none"/>
        </w:rPr>
        <w:t>第十</w:t>
      </w:r>
      <w:r>
        <w:rPr>
          <w:rFonts w:hint="default" w:ascii="Times New Roman" w:hAnsi="Times New Roman" w:eastAsia="黑体" w:cs="Times New Roman"/>
          <w:color w:val="auto"/>
          <w:sz w:val="32"/>
          <w:szCs w:val="32"/>
          <w:highlight w:val="none"/>
          <w:lang w:eastAsia="zh-CN"/>
        </w:rPr>
        <w:t>六</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【B级管理】对信用等级为B级的信用主体，采取以下措施：</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（一）在自然资源行政许可等行政管理和公共服务中，不适用信用承诺，根据实际情况合理限制优先办理、容缺受理、程序简化等便利服务措施，实施常规管理；</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（二）在日常监管中，采取包容审慎监管方式，正常履行日常检查职责，按照正常比例和频次开展“双随机、一公开”监管，按规定正常实施现场或非现场检查；</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（三）适当限制在自然资源领域评优评先；</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highlight w:val="none"/>
          <w:shd w:val="clear" w:color="auto" w:fill="FFFFFF"/>
          <w:lang w:eastAsia="zh-CN"/>
        </w:rPr>
        <w:t>现行有效的《全国失信惩戒措施基础清单》及</w:t>
      </w:r>
      <w:r>
        <w:rPr>
          <w:rFonts w:hint="default" w:ascii="Times New Roman" w:hAnsi="Times New Roman" w:eastAsia="仿宋_GB2312" w:cs="Times New Roman"/>
          <w:color w:val="auto"/>
          <w:sz w:val="32"/>
          <w:szCs w:val="32"/>
          <w:highlight w:val="none"/>
          <w:shd w:val="clear" w:color="auto" w:fill="FFFFFF"/>
        </w:rPr>
        <w:t>法律法规等规定的其他措施。</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w:t>
      </w:r>
      <w:r>
        <w:rPr>
          <w:rFonts w:hint="default" w:ascii="Times New Roman" w:hAnsi="Times New Roman" w:eastAsia="黑体" w:cs="Times New Roman"/>
          <w:color w:val="auto"/>
          <w:sz w:val="32"/>
          <w:szCs w:val="32"/>
          <w:highlight w:val="none"/>
          <w:lang w:eastAsia="zh-CN"/>
        </w:rPr>
        <w:t>七</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【C级管理】对信用等级为C级的信用主体，采取以下</w:t>
      </w:r>
      <w:r>
        <w:rPr>
          <w:rFonts w:hint="default" w:ascii="Times New Roman" w:hAnsi="Times New Roman" w:eastAsia="仿宋_GB2312" w:cs="Times New Roman"/>
          <w:color w:val="auto"/>
          <w:sz w:val="32"/>
          <w:szCs w:val="32"/>
          <w:highlight w:val="none"/>
          <w:lang w:eastAsia="zh-CN"/>
        </w:rPr>
        <w:t>惩戒</w:t>
      </w:r>
      <w:r>
        <w:rPr>
          <w:rFonts w:hint="default" w:ascii="Times New Roman" w:hAnsi="Times New Roman" w:eastAsia="仿宋_GB2312" w:cs="Times New Roman"/>
          <w:color w:val="auto"/>
          <w:sz w:val="32"/>
          <w:szCs w:val="32"/>
          <w:highlight w:val="none"/>
        </w:rPr>
        <w:t>措施：</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（一）在自然资源行政管理和公共服务中，不适用信用承诺，限制享受或取消已享受的优先办理、容缺受理、程序简化等便利服务措施，严格审查其资格和材料等；</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（二）在日常监管中，列为重点监管对象，增加日常检查频次和随机抽查力度，加强“双随机、一公开”监管，实施现场检查；</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（三）限制在自然资源领域评优评先，取消参加评先评优资格，依法推送信用情况给有关部门在行政管理和公共服务中参考使用；</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w:t>
      </w:r>
      <w:r>
        <w:rPr>
          <w:rFonts w:hint="default" w:ascii="Times New Roman" w:hAnsi="Times New Roman" w:eastAsia="仿宋_GB2312" w:cs="Times New Roman"/>
          <w:color w:val="auto"/>
          <w:sz w:val="32"/>
          <w:szCs w:val="32"/>
          <w:highlight w:val="none"/>
          <w:shd w:val="clear" w:color="auto" w:fill="FFFFFF"/>
          <w:lang w:eastAsia="zh-CN"/>
        </w:rPr>
        <w:t>现行有效的《全国失信惩戒措施基础清单》及</w:t>
      </w:r>
      <w:r>
        <w:rPr>
          <w:rFonts w:hint="default" w:ascii="Times New Roman" w:hAnsi="Times New Roman" w:eastAsia="仿宋_GB2312" w:cs="Times New Roman"/>
          <w:color w:val="auto"/>
          <w:sz w:val="32"/>
          <w:szCs w:val="32"/>
          <w:highlight w:val="none"/>
          <w:shd w:val="clear" w:color="auto" w:fill="FFFFFF"/>
        </w:rPr>
        <w:t>法律法规等规定的其他惩戒措施。</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w:t>
      </w:r>
      <w:r>
        <w:rPr>
          <w:rFonts w:hint="default" w:ascii="Times New Roman" w:hAnsi="Times New Roman" w:eastAsia="黑体" w:cs="Times New Roman"/>
          <w:color w:val="auto"/>
          <w:sz w:val="32"/>
          <w:szCs w:val="32"/>
          <w:highlight w:val="none"/>
          <w:lang w:eastAsia="zh-CN"/>
        </w:rPr>
        <w:t>八</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D</w:t>
      </w:r>
      <w:r>
        <w:rPr>
          <w:rFonts w:hint="default" w:ascii="Times New Roman" w:hAnsi="Times New Roman" w:eastAsia="仿宋_GB2312" w:cs="Times New Roman"/>
          <w:color w:val="auto"/>
          <w:sz w:val="32"/>
          <w:szCs w:val="32"/>
          <w:highlight w:val="none"/>
        </w:rPr>
        <w:t>级管理】对信用等级为</w:t>
      </w:r>
      <w:r>
        <w:rPr>
          <w:rFonts w:hint="default" w:ascii="Times New Roman" w:hAnsi="Times New Roman" w:eastAsia="仿宋_GB2312" w:cs="Times New Roman"/>
          <w:color w:val="auto"/>
          <w:sz w:val="32"/>
          <w:szCs w:val="32"/>
          <w:highlight w:val="none"/>
        </w:rPr>
        <w:t>D</w:t>
      </w:r>
      <w:r>
        <w:rPr>
          <w:rFonts w:hint="default" w:ascii="Times New Roman" w:hAnsi="Times New Roman" w:eastAsia="仿宋_GB2312" w:cs="Times New Roman"/>
          <w:color w:val="auto"/>
          <w:sz w:val="32"/>
          <w:szCs w:val="32"/>
          <w:highlight w:val="none"/>
        </w:rPr>
        <w:t>级的信用主体，采取以下</w:t>
      </w:r>
      <w:r>
        <w:rPr>
          <w:rFonts w:hint="default" w:ascii="Times New Roman" w:hAnsi="Times New Roman" w:eastAsia="仿宋_GB2312" w:cs="Times New Roman"/>
          <w:color w:val="auto"/>
          <w:sz w:val="32"/>
          <w:szCs w:val="32"/>
          <w:highlight w:val="none"/>
          <w:lang w:eastAsia="zh-CN"/>
        </w:rPr>
        <w:t>惩戒</w:t>
      </w:r>
      <w:r>
        <w:rPr>
          <w:rFonts w:hint="default" w:ascii="Times New Roman" w:hAnsi="Times New Roman" w:eastAsia="仿宋_GB2312" w:cs="Times New Roman"/>
          <w:color w:val="auto"/>
          <w:sz w:val="32"/>
          <w:szCs w:val="32"/>
          <w:highlight w:val="none"/>
        </w:rPr>
        <w:t>措施：</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(一)从严审核行政许可审批项目，限制或者禁止进入相关市场和相关行业;</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(二)限制</w:t>
      </w:r>
      <w:r>
        <w:rPr>
          <w:rFonts w:hint="default" w:ascii="Times New Roman" w:hAnsi="Times New Roman" w:eastAsia="仿宋_GB2312" w:cs="Times New Roman"/>
          <w:color w:val="auto"/>
          <w:sz w:val="32"/>
          <w:szCs w:val="32"/>
          <w:highlight w:val="none"/>
          <w:shd w:val="clear" w:color="auto" w:fill="FFFFFF"/>
        </w:rPr>
        <w:t>在自然资源领域</w:t>
      </w:r>
      <w:r>
        <w:rPr>
          <w:rFonts w:hint="default" w:ascii="Times New Roman" w:hAnsi="Times New Roman" w:eastAsia="仿宋_GB2312" w:cs="Times New Roman"/>
          <w:color w:val="auto"/>
          <w:sz w:val="32"/>
          <w:szCs w:val="32"/>
          <w:highlight w:val="none"/>
        </w:rPr>
        <w:t>相关任职资格，取消评优评先资格或者撤销相关荣誉及称号;</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(三)列</w:t>
      </w:r>
      <w:r>
        <w:rPr>
          <w:rFonts w:hint="default" w:ascii="Times New Roman" w:hAnsi="Times New Roman" w:eastAsia="仿宋_GB2312" w:cs="Times New Roman"/>
          <w:color w:val="auto"/>
          <w:sz w:val="32"/>
          <w:szCs w:val="32"/>
          <w:highlight w:val="none"/>
        </w:rPr>
        <w:t>为重点监管对象，加大日常检查频次，抽查比例不设上限，增加抽查内容，提高“双随机、一公开”抽查力度;</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(四)限制参加土地、矿产领域招标、拍卖、挂牌等公共资源交易活动;</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shd w:val="clear" w:color="auto" w:fill="FFFFFF"/>
        </w:rPr>
        <w:t>对市场主体的法定代表人或实际管理人员进行约谈，纳入“失信异常名单”，增加曝光率；</w:t>
      </w:r>
    </w:p>
    <w:p>
      <w:pPr>
        <w:pStyle w:val="7"/>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六</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shd w:val="clear" w:color="auto" w:fill="FFFFFF"/>
          <w:lang w:eastAsia="zh-CN"/>
        </w:rPr>
        <w:t>现行有效的《全国失信惩戒措施基础清单》及</w:t>
      </w:r>
      <w:r>
        <w:rPr>
          <w:rFonts w:hint="default" w:ascii="Times New Roman" w:hAnsi="Times New Roman" w:eastAsia="仿宋_GB2312" w:cs="Times New Roman"/>
          <w:color w:val="auto"/>
          <w:sz w:val="32"/>
          <w:szCs w:val="32"/>
          <w:highlight w:val="none"/>
          <w:shd w:val="clear" w:color="auto" w:fill="FFFFFF"/>
        </w:rPr>
        <w:t>法律法规等规定的其他惩戒措施。</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rPr>
        <w:t>第五章  信用信息修复</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eastAsia="zh-CN"/>
        </w:rPr>
        <w:t>十九</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【修复条件】信用主体符合以下条件的，可以向</w:t>
      </w:r>
      <w:r>
        <w:rPr>
          <w:rFonts w:hint="default" w:ascii="Times New Roman" w:hAnsi="Times New Roman" w:eastAsia="仿宋_GB2312" w:cs="Times New Roman"/>
          <w:color w:val="auto"/>
          <w:sz w:val="32"/>
          <w:szCs w:val="32"/>
          <w:highlight w:val="none"/>
          <w:lang w:eastAsia="zh-CN"/>
        </w:rPr>
        <w:t>市自然资源局</w:t>
      </w:r>
      <w:r>
        <w:rPr>
          <w:rFonts w:hint="default" w:ascii="Times New Roman" w:hAnsi="Times New Roman" w:eastAsia="仿宋_GB2312" w:cs="Times New Roman"/>
          <w:color w:val="auto"/>
          <w:sz w:val="32"/>
          <w:szCs w:val="32"/>
          <w:highlight w:val="none"/>
        </w:rPr>
        <w:t>提出信用信息修复申请：</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达到最短公示期限（轻微失信信息原则上不予以公示，确有必要公示的，公示期最长不超过3个月，且法定程序履行完毕即可申请修复。一般失信信息的最短公示期为3个月，最长为1年。严重失信信息的最短公示期为1年，最长为3年）</w:t>
      </w:r>
      <w:r>
        <w:rPr>
          <w:rFonts w:hint="default" w:ascii="Times New Roman" w:hAnsi="Times New Roman" w:eastAsia="仿宋_GB2312" w:cs="Times New Roman"/>
          <w:color w:val="auto"/>
          <w:sz w:val="32"/>
          <w:szCs w:val="32"/>
          <w:highlight w:val="none"/>
          <w:lang w:eastAsia="zh-CN"/>
        </w:rPr>
        <w:t>；</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（二）纠正失信行为，完全履行失信行为涉及的行政处罚、异常名录或严重失信主体名单等规定的义务；</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（三）公开作出信用承诺，承诺内容应包括所提交材料真实有效，并明确愿意承担违反承诺的相应责任；</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（四）法律、行政法规、上级部门规章要求的其他条件。</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十条</w:t>
      </w:r>
      <w:r>
        <w:rPr>
          <w:rFonts w:hint="default" w:ascii="Times New Roman" w:hAnsi="Times New Roman" w:eastAsia="仿宋_GB2312" w:cs="Times New Roman"/>
          <w:color w:val="auto"/>
          <w:sz w:val="32"/>
          <w:szCs w:val="32"/>
          <w:highlight w:val="none"/>
        </w:rPr>
        <w:t>【修复资料提供】符合信用信息修复条件的信用主体提出信用修复申请的，需提交以下申请材料：</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（一）信用修复申请书；</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（二）信用承诺书；</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（三）涉及行政处罚的，需提交已履行行政处罚决定的相关证明材料；</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（四）法律法规规定的其他材料。</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第二十</w:t>
      </w:r>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【修复办理】</w:t>
      </w:r>
      <w:r>
        <w:rPr>
          <w:rFonts w:hint="default" w:ascii="Times New Roman" w:hAnsi="Times New Roman" w:eastAsia="仿宋_GB2312" w:cs="Times New Roman"/>
          <w:color w:val="auto"/>
          <w:sz w:val="32"/>
          <w:szCs w:val="32"/>
          <w:highlight w:val="none"/>
          <w:lang w:eastAsia="zh-CN"/>
        </w:rPr>
        <w:t>市自然资源局</w:t>
      </w:r>
      <w:r>
        <w:rPr>
          <w:rFonts w:hint="default" w:ascii="Times New Roman" w:hAnsi="Times New Roman" w:eastAsia="仿宋_GB2312" w:cs="Times New Roman"/>
          <w:color w:val="auto"/>
          <w:sz w:val="32"/>
          <w:szCs w:val="32"/>
          <w:highlight w:val="none"/>
        </w:rPr>
        <w:t>收到信用修复申请后，应当对申请材料进行形式审查，材料齐全且符合要求的，予以受理；材料不齐全或者不符合要求的，应当在3个工作日内一次性告知信用主体予以补正，补正后符合要求的，予以受理。</w:t>
      </w:r>
    </w:p>
    <w:p>
      <w:pPr>
        <w:pStyle w:val="2"/>
        <w:spacing w:after="0"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市自然资源局</w:t>
      </w:r>
      <w:r>
        <w:rPr>
          <w:rFonts w:hint="default" w:ascii="Times New Roman" w:hAnsi="Times New Roman" w:eastAsia="仿宋_GB2312" w:cs="Times New Roman"/>
          <w:color w:val="auto"/>
          <w:sz w:val="32"/>
          <w:szCs w:val="32"/>
          <w:highlight w:val="none"/>
        </w:rPr>
        <w:t>受理信用修复申请后，应当自受理之日起7个工作日内依法进行审查，作出是否同意修复的决定，并</w:t>
      </w:r>
      <w:r>
        <w:rPr>
          <w:rFonts w:hint="default" w:ascii="Times New Roman" w:hAnsi="Times New Roman" w:eastAsia="仿宋_GB2312" w:cs="Times New Roman"/>
          <w:color w:val="auto"/>
          <w:sz w:val="32"/>
          <w:szCs w:val="32"/>
          <w:highlight w:val="none"/>
          <w:lang w:eastAsia="zh-CN"/>
        </w:rPr>
        <w:t>书面</w:t>
      </w:r>
      <w:r>
        <w:rPr>
          <w:rFonts w:hint="default" w:ascii="Times New Roman" w:hAnsi="Times New Roman" w:eastAsia="仿宋_GB2312" w:cs="Times New Roman"/>
          <w:color w:val="auto"/>
          <w:sz w:val="32"/>
          <w:szCs w:val="32"/>
          <w:highlight w:val="none"/>
        </w:rPr>
        <w:t>告知信用主体。</w:t>
      </w:r>
    </w:p>
    <w:p>
      <w:pPr>
        <w:pStyle w:val="2"/>
        <w:spacing w:after="0"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rPr>
        <w:t>第二十</w:t>
      </w:r>
      <w:r>
        <w:rPr>
          <w:rFonts w:hint="default"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条</w:t>
      </w:r>
      <w:r>
        <w:rPr>
          <w:rFonts w:hint="default" w:ascii="Times New Roman" w:hAnsi="Times New Roman" w:eastAsia="仿宋_GB2312" w:cs="Times New Roman"/>
          <w:color w:val="auto"/>
          <w:sz w:val="32"/>
          <w:szCs w:val="32"/>
          <w:highlight w:val="none"/>
        </w:rPr>
        <w:t>【不</w:t>
      </w:r>
      <w:r>
        <w:rPr>
          <w:rFonts w:hint="default" w:ascii="Times New Roman" w:hAnsi="Times New Roman" w:eastAsia="仿宋_GB2312" w:cs="Times New Roman"/>
          <w:color w:val="auto"/>
          <w:sz w:val="32"/>
          <w:szCs w:val="32"/>
          <w:highlight w:val="none"/>
          <w:lang w:eastAsia="zh-CN"/>
        </w:rPr>
        <w:t>予</w:t>
      </w:r>
      <w:r>
        <w:rPr>
          <w:rFonts w:hint="default" w:ascii="Times New Roman" w:hAnsi="Times New Roman" w:eastAsia="仿宋_GB2312" w:cs="Times New Roman"/>
          <w:color w:val="auto"/>
          <w:sz w:val="32"/>
          <w:szCs w:val="32"/>
          <w:highlight w:val="none"/>
        </w:rPr>
        <w:t>修复情形】 有下列情形之一的，不予信用修复：</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（一）失信行为造成重大生态破坏、公共利益损失或恶劣社会影响的；</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（二）拒不履行行政处罚决定、行政裁决、法院判决的；</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（三）以欺骗、贿赂等不正当手段获取信用修复的；</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（四）法律法规、国家政策明确规定不可修复的失信行为。</w:t>
      </w:r>
    </w:p>
    <w:p>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3200" w:firstLineChars="10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第六章  附则</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第二十</w:t>
      </w: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 xml:space="preserve">条 </w:t>
      </w:r>
      <w:r>
        <w:rPr>
          <w:rFonts w:hint="default" w:ascii="Times New Roman" w:hAnsi="Times New Roman" w:eastAsia="仿宋_GB2312" w:cs="Times New Roman"/>
          <w:color w:val="auto"/>
          <w:sz w:val="32"/>
          <w:szCs w:val="32"/>
          <w:highlight w:val="none"/>
        </w:rPr>
        <w:t xml:space="preserve">本办法由克拉玛依市自然资源局负责解释。 </w:t>
      </w:r>
    </w:p>
    <w:p>
      <w:pPr>
        <w:pStyle w:val="2"/>
        <w:spacing w:after="0"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第二十</w:t>
      </w:r>
      <w:r>
        <w:rPr>
          <w:rFonts w:hint="default" w:ascii="Times New Roman" w:hAnsi="Times New Roman" w:eastAsia="黑体" w:cs="Times New Roman"/>
          <w:color w:val="auto"/>
          <w:sz w:val="32"/>
          <w:szCs w:val="32"/>
          <w:highlight w:val="none"/>
          <w:lang w:eastAsia="zh-CN"/>
        </w:rPr>
        <w:t>四</w:t>
      </w:r>
      <w:r>
        <w:rPr>
          <w:rFonts w:hint="default" w:ascii="Times New Roman" w:hAnsi="Times New Roman" w:eastAsia="黑体" w:cs="Times New Roman"/>
          <w:color w:val="auto"/>
          <w:sz w:val="32"/>
          <w:szCs w:val="32"/>
          <w:highlight w:val="none"/>
        </w:rPr>
        <w:t xml:space="preserve">条 </w:t>
      </w:r>
      <w:r>
        <w:rPr>
          <w:rFonts w:hint="default" w:ascii="Times New Roman" w:hAnsi="Times New Roman" w:eastAsia="仿宋_GB2312" w:cs="Times New Roman"/>
          <w:color w:val="auto"/>
          <w:sz w:val="32"/>
          <w:szCs w:val="32"/>
          <w:highlight w:val="none"/>
        </w:rPr>
        <w:t>本办法自2026年*月*日起施行</w:t>
      </w:r>
      <w:r>
        <w:rPr>
          <w:rFonts w:hint="default" w:ascii="Times New Roman" w:hAnsi="Times New Roman" w:eastAsia="仿宋_GB2312" w:cs="Times New Roman"/>
          <w:color w:val="auto"/>
          <w:sz w:val="32"/>
          <w:szCs w:val="32"/>
          <w:highlight w:val="none"/>
        </w:rPr>
        <w:t>,有效期</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rPr>
        <w:t>。</w:t>
      </w: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pStyle w:val="2"/>
        <w:spacing w:after="0" w:line="560" w:lineRule="exact"/>
        <w:ind w:firstLine="420" w:firstLineChars="200"/>
        <w:rPr>
          <w:rFonts w:hint="default" w:ascii="Times New Roman" w:hAnsi="Times New Roman" w:cs="Times New Roman"/>
          <w:color w:val="auto"/>
          <w:highlight w:val="none"/>
        </w:rPr>
      </w:pPr>
    </w:p>
    <w:p>
      <w:pPr>
        <w:rPr>
          <w:rFonts w:hint="default" w:ascii="Times New Roman" w:hAnsi="Times New Roman" w:eastAsia="仿宋_GB2312" w:cs="Times New Roman"/>
          <w:color w:val="auto"/>
          <w:sz w:val="32"/>
          <w:szCs w:val="32"/>
          <w:highlight w:val="none"/>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w:altName w:val="国标宋体-超大字符集"/>
    <w:panose1 w:val="00000500000000000000"/>
    <w:charset w:val="00"/>
    <w:family w:val="auto"/>
    <w:pitch w:val="default"/>
    <w:sig w:usb0="00000000" w:usb1="00000000" w:usb2="00000000" w:usb3="00000000" w:csb0="6000009F" w:csb1="00000000"/>
  </w:font>
  <w:font w:name="国标宋体-超大字符集">
    <w:panose1 w:val="03000509000000000000"/>
    <w:charset w:val="86"/>
    <w:family w:val="auto"/>
    <w:pitch w:val="default"/>
    <w:sig w:usb0="00000001" w:usb1="08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2F799A"/>
    <w:multiLevelType w:val="singleLevel"/>
    <w:tmpl w:val="4A2F79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0B4"/>
    <w:rsid w:val="00011318"/>
    <w:rsid w:val="000E7E4B"/>
    <w:rsid w:val="00104BA1"/>
    <w:rsid w:val="00113D67"/>
    <w:rsid w:val="00134ECC"/>
    <w:rsid w:val="00152E1C"/>
    <w:rsid w:val="001627E2"/>
    <w:rsid w:val="00173EE2"/>
    <w:rsid w:val="00187D00"/>
    <w:rsid w:val="00195F9A"/>
    <w:rsid w:val="001A3F4F"/>
    <w:rsid w:val="00203809"/>
    <w:rsid w:val="00215C6B"/>
    <w:rsid w:val="00245985"/>
    <w:rsid w:val="00276DCB"/>
    <w:rsid w:val="00292996"/>
    <w:rsid w:val="0030005D"/>
    <w:rsid w:val="00330C7B"/>
    <w:rsid w:val="0034428B"/>
    <w:rsid w:val="003711AD"/>
    <w:rsid w:val="003734D8"/>
    <w:rsid w:val="00386A77"/>
    <w:rsid w:val="0039074D"/>
    <w:rsid w:val="00397FF4"/>
    <w:rsid w:val="003D5204"/>
    <w:rsid w:val="0040357A"/>
    <w:rsid w:val="00426423"/>
    <w:rsid w:val="0048255F"/>
    <w:rsid w:val="004C6850"/>
    <w:rsid w:val="004F006B"/>
    <w:rsid w:val="00517551"/>
    <w:rsid w:val="00545980"/>
    <w:rsid w:val="00545A8A"/>
    <w:rsid w:val="00556725"/>
    <w:rsid w:val="00563634"/>
    <w:rsid w:val="00563FC9"/>
    <w:rsid w:val="005810D4"/>
    <w:rsid w:val="00591BDA"/>
    <w:rsid w:val="005B7623"/>
    <w:rsid w:val="005E43CC"/>
    <w:rsid w:val="006255FE"/>
    <w:rsid w:val="00680E22"/>
    <w:rsid w:val="006A444C"/>
    <w:rsid w:val="006A6590"/>
    <w:rsid w:val="006C6C43"/>
    <w:rsid w:val="006E1F09"/>
    <w:rsid w:val="006F10B4"/>
    <w:rsid w:val="006F6E2D"/>
    <w:rsid w:val="0078448B"/>
    <w:rsid w:val="0078790F"/>
    <w:rsid w:val="007B3B41"/>
    <w:rsid w:val="007F7564"/>
    <w:rsid w:val="008121E7"/>
    <w:rsid w:val="00813360"/>
    <w:rsid w:val="008520C4"/>
    <w:rsid w:val="008950FC"/>
    <w:rsid w:val="008D1BCD"/>
    <w:rsid w:val="00910ECE"/>
    <w:rsid w:val="00934170"/>
    <w:rsid w:val="00946C04"/>
    <w:rsid w:val="00963C23"/>
    <w:rsid w:val="009B53BB"/>
    <w:rsid w:val="00AD6195"/>
    <w:rsid w:val="00B03FE0"/>
    <w:rsid w:val="00B1012F"/>
    <w:rsid w:val="00B15061"/>
    <w:rsid w:val="00B16653"/>
    <w:rsid w:val="00B26558"/>
    <w:rsid w:val="00B92C30"/>
    <w:rsid w:val="00B92CFE"/>
    <w:rsid w:val="00BB7B96"/>
    <w:rsid w:val="00C0390F"/>
    <w:rsid w:val="00C26EBD"/>
    <w:rsid w:val="00C4431E"/>
    <w:rsid w:val="00C85338"/>
    <w:rsid w:val="00CD585E"/>
    <w:rsid w:val="00CE5605"/>
    <w:rsid w:val="00DA388F"/>
    <w:rsid w:val="00DB5FD6"/>
    <w:rsid w:val="00DC3F11"/>
    <w:rsid w:val="00DD3322"/>
    <w:rsid w:val="00E02E1F"/>
    <w:rsid w:val="00E06510"/>
    <w:rsid w:val="00E40B46"/>
    <w:rsid w:val="00E42B70"/>
    <w:rsid w:val="00E510C3"/>
    <w:rsid w:val="00E6088E"/>
    <w:rsid w:val="00E87564"/>
    <w:rsid w:val="00E9080A"/>
    <w:rsid w:val="00EE7842"/>
    <w:rsid w:val="00F03FB4"/>
    <w:rsid w:val="00F67D64"/>
    <w:rsid w:val="00FC59DC"/>
    <w:rsid w:val="00FE4701"/>
    <w:rsid w:val="0BDF83C7"/>
    <w:rsid w:val="1E58C570"/>
    <w:rsid w:val="1F0D674A"/>
    <w:rsid w:val="1FE68CF6"/>
    <w:rsid w:val="2FBFE95B"/>
    <w:rsid w:val="37AE5EEB"/>
    <w:rsid w:val="3D07E523"/>
    <w:rsid w:val="3D7D2D1C"/>
    <w:rsid w:val="3DB50CC4"/>
    <w:rsid w:val="3EDB4139"/>
    <w:rsid w:val="3F1988F8"/>
    <w:rsid w:val="3FE52FB7"/>
    <w:rsid w:val="3FFB0ACA"/>
    <w:rsid w:val="3FFFBA5B"/>
    <w:rsid w:val="45EF4B73"/>
    <w:rsid w:val="47EB9E0D"/>
    <w:rsid w:val="4EEFA27C"/>
    <w:rsid w:val="4F7E3C58"/>
    <w:rsid w:val="4FB6C451"/>
    <w:rsid w:val="4FBD6374"/>
    <w:rsid w:val="51F79C6E"/>
    <w:rsid w:val="5A79E075"/>
    <w:rsid w:val="5DF98D7A"/>
    <w:rsid w:val="5EAF1A99"/>
    <w:rsid w:val="5FFFF32D"/>
    <w:rsid w:val="67A92E01"/>
    <w:rsid w:val="6DE528FA"/>
    <w:rsid w:val="6DF7C3BE"/>
    <w:rsid w:val="6E7B91EA"/>
    <w:rsid w:val="6EF5ADC6"/>
    <w:rsid w:val="6FFF774F"/>
    <w:rsid w:val="753B580C"/>
    <w:rsid w:val="76AD16A7"/>
    <w:rsid w:val="77E7DA3F"/>
    <w:rsid w:val="793B9F9E"/>
    <w:rsid w:val="7AEEEC0C"/>
    <w:rsid w:val="7BB32D4C"/>
    <w:rsid w:val="7D7BC1B8"/>
    <w:rsid w:val="7DFEFA95"/>
    <w:rsid w:val="7DFFB340"/>
    <w:rsid w:val="7EDEC561"/>
    <w:rsid w:val="7EE6BDBC"/>
    <w:rsid w:val="7EFE9B0D"/>
    <w:rsid w:val="7FAD90CE"/>
    <w:rsid w:val="7FC996BB"/>
    <w:rsid w:val="7FCD7D13"/>
    <w:rsid w:val="7FEF7E05"/>
    <w:rsid w:val="7FFF2407"/>
    <w:rsid w:val="9FFC3F77"/>
    <w:rsid w:val="A6FFDF8C"/>
    <w:rsid w:val="B5FDC8D7"/>
    <w:rsid w:val="B5FFC81F"/>
    <w:rsid w:val="B65F0E63"/>
    <w:rsid w:val="BF6E1E03"/>
    <w:rsid w:val="BFAF06E7"/>
    <w:rsid w:val="BFBE3630"/>
    <w:rsid w:val="BFCFA5E5"/>
    <w:rsid w:val="C3E60E3E"/>
    <w:rsid w:val="D76D453A"/>
    <w:rsid w:val="D9B56055"/>
    <w:rsid w:val="DE9EE95B"/>
    <w:rsid w:val="DFCC92EC"/>
    <w:rsid w:val="E3DFA4B9"/>
    <w:rsid w:val="EAEFC7A7"/>
    <w:rsid w:val="EB7B0A54"/>
    <w:rsid w:val="ECFFF24E"/>
    <w:rsid w:val="EECFF190"/>
    <w:rsid w:val="EFFE2152"/>
    <w:rsid w:val="F1DDDC30"/>
    <w:rsid w:val="F2FFD8B7"/>
    <w:rsid w:val="F746A099"/>
    <w:rsid w:val="F7756916"/>
    <w:rsid w:val="F8FF5A4E"/>
    <w:rsid w:val="FAFFBE9E"/>
    <w:rsid w:val="FC7309EB"/>
    <w:rsid w:val="FEE71B26"/>
    <w:rsid w:val="FF667BD9"/>
    <w:rsid w:val="FFFD1686"/>
    <w:rsid w:val="FFFEF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lang w:val="en-US" w:eastAsia="zh-CN" w:bidi="ar-SA"/>
    </w:rPr>
  </w:style>
  <w:style w:type="paragraph" w:styleId="3">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qFormat/>
    <w:uiPriority w:val="0"/>
    <w:pPr>
      <w:spacing w:after="120"/>
    </w:pPr>
    <w:rPr>
      <w:kern w:val="2"/>
      <w:sz w:val="21"/>
      <w:szCs w:val="22"/>
    </w:rPr>
  </w:style>
  <w:style w:type="paragraph" w:styleId="4">
    <w:name w:val="annotation text"/>
    <w:basedOn w:val="1"/>
    <w:semiHidden/>
    <w:unhideWhenUsed/>
    <w:qFormat/>
    <w:uiPriority w:val="99"/>
    <w:pPr>
      <w:jc w:val="left"/>
    </w:pPr>
  </w:style>
  <w:style w:type="paragraph" w:styleId="5">
    <w:name w:val="footer"/>
    <w:basedOn w:val="1"/>
    <w:link w:val="15"/>
    <w:unhideWhenUsed/>
    <w:qFormat/>
    <w:uiPriority w:val="0"/>
    <w:pPr>
      <w:tabs>
        <w:tab w:val="center" w:pos="4153"/>
        <w:tab w:val="right" w:pos="8306"/>
      </w:tabs>
      <w:snapToGrid w:val="0"/>
      <w:jc w:val="left"/>
    </w:pPr>
    <w:rPr>
      <w:sz w:val="18"/>
      <w:szCs w:val="18"/>
    </w:rPr>
  </w:style>
  <w:style w:type="paragraph" w:styleId="6">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sz w:val="24"/>
      <w:szCs w:val="24"/>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page number"/>
    <w:basedOn w:val="10"/>
    <w:qFormat/>
    <w:uiPriority w:val="0"/>
  </w:style>
  <w:style w:type="character" w:styleId="13">
    <w:name w:val="annotation reference"/>
    <w:basedOn w:val="10"/>
    <w:semiHidden/>
    <w:unhideWhenUsed/>
    <w:qFormat/>
    <w:uiPriority w:val="99"/>
    <w:rPr>
      <w:sz w:val="21"/>
      <w:szCs w:val="21"/>
    </w:rPr>
  </w:style>
  <w:style w:type="character" w:customStyle="1" w:styleId="14">
    <w:name w:val="页眉 字符"/>
    <w:basedOn w:val="10"/>
    <w:link w:val="6"/>
    <w:qFormat/>
    <w:uiPriority w:val="0"/>
    <w:rPr>
      <w:sz w:val="18"/>
      <w:szCs w:val="18"/>
    </w:rPr>
  </w:style>
  <w:style w:type="character" w:customStyle="1" w:styleId="15">
    <w:name w:val="页脚 字符"/>
    <w:basedOn w:val="10"/>
    <w:link w:val="5"/>
    <w:semiHidden/>
    <w:qFormat/>
    <w:uiPriority w:val="99"/>
    <w:rPr>
      <w:sz w:val="18"/>
      <w:szCs w:val="18"/>
    </w:rPr>
  </w:style>
  <w:style w:type="character" w:customStyle="1" w:styleId="16">
    <w:name w:val="标题 1 字符"/>
    <w:basedOn w:val="10"/>
    <w:link w:val="3"/>
    <w:qFormat/>
    <w:uiPriority w:val="9"/>
    <w:rPr>
      <w:rFonts w:ascii="宋体" w:hAnsi="宋体" w:eastAsia="宋体" w:cs="宋体"/>
      <w:b/>
      <w:bCs/>
      <w:kern w:val="36"/>
      <w:sz w:val="48"/>
      <w:szCs w:val="48"/>
    </w:rPr>
  </w:style>
  <w:style w:type="character" w:customStyle="1" w:styleId="17">
    <w:name w:val="正文文本 字符"/>
    <w:basedOn w:val="10"/>
    <w:link w:val="2"/>
    <w:qFormat/>
    <w:uiPriority w:val="0"/>
    <w:rPr>
      <w:rFonts w:ascii="Times New Roman" w:hAnsi="Times New Roman" w:eastAsia="宋体" w:cs="Times New Roman"/>
    </w:rPr>
  </w:style>
  <w:style w:type="paragraph" w:customStyle="1" w:styleId="18">
    <w:name w:val="修订1"/>
    <w:hidden/>
    <w:unhideWhenUsed/>
    <w:qFormat/>
    <w:uiPriority w:val="99"/>
    <w:pPr>
      <w:spacing w:after="0" w:line="240" w:lineRule="auto"/>
    </w:pPr>
    <w:rPr>
      <w:rFonts w:ascii="Times New Roman" w:hAnsi="Times New Roman" w:eastAsia="宋体" w:cs="Times New Roman"/>
      <w:lang w:val="en-US" w:eastAsia="zh-CN" w:bidi="ar-SA"/>
    </w:rPr>
  </w:style>
  <w:style w:type="paragraph" w:styleId="19">
    <w:name w:val="List Paragraph"/>
    <w:basedOn w:val="1"/>
    <w:unhideWhenUsed/>
    <w:qFormat/>
    <w:uiPriority w:val="99"/>
    <w:pPr>
      <w:ind w:firstLine="420" w:firstLineChars="200"/>
    </w:pPr>
  </w:style>
  <w:style w:type="paragraph" w:customStyle="1" w:styleId="20">
    <w:name w:val="Revision"/>
    <w:hidden/>
    <w:unhideWhenUsed/>
    <w:qFormat/>
    <w:uiPriority w:val="99"/>
    <w:pPr>
      <w:spacing w:after="0" w:line="240" w:lineRule="auto"/>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1022</Words>
  <Characters>5831</Characters>
  <Lines>48</Lines>
  <Paragraphs>13</Paragraphs>
  <TotalTime>8</TotalTime>
  <ScaleCrop>false</ScaleCrop>
  <LinksUpToDate>false</LinksUpToDate>
  <CharactersWithSpaces>6840</CharactersWithSpaces>
  <Application>WPS Office_11.8.2.12017_F1E327BC-269C-435d-A152-05C5408002CA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2024-10-21T16:29:00Z</dcterms:created>
  <dc:creator>js</dc:creator>
  <cp:lastModifiedBy>huawei</cp:lastModifiedBy>
  <cp:lastPrinted>2026-06-29T08:48:00Z</cp:lastPrinted>
  <dcterms:modified xsi:type="dcterms:W3CDTF">2026-08-24T17:12:53Z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2052-11.8.2.12017</vt:lpwstr>
  </property>
  <property fmtid="{D5CDD505-2E9C-101B-9397-08002B2CF9AE}" pid="3" name="ICV">
    <vt:lpwstr>05091317714A3F5AB50A8C6A76E2661C</vt:lpwstr>
  </property>
</Properties>
</file>