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关于《克拉玛依市医疗保障定点医药机构信用评价实施细则（试行）》《克拉玛依市医疗保障相关从业人员信用评价实施细则（试行）》《克拉玛依市医疗保障参保人员信用评价实施细则（试行）》的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克拉玛依市医疗保障定点医药机构信用评价实施细则（试行）》《克拉玛依市医疗保障相关从业人员信用评价实施细则（试行）》《克拉玛依市医疗保障参保人员信用评价实施细则（试行）》（以下简称《细则》）由市医疗保障局负责起草。以《医疗保障基金使用监督管理条例》《新疆维吾尔自治区 新疆生产建设兵团医疗保障信用管理办法》（新医保规〔2025〕3号）等为依据，结合我市实际，制定本《细则》。现将有关情况汇报如下：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落实自治区信用管理办法配套制度的需要。自治区办法于2025年印发，明确要求各地制定具体实施细则，我市亟需出台配套文件确保落地见效。二是推进我市医保信用体系建设的需要。目前全市尚未建立统一的信用评价标准，制定《细则》有利于统一规范、分类施策，营造“守信受益、失信受限”的良好氛围。三是规范三类主体信用管理的需要。定点医药机构、从业人员和参保人员管理方式不同，有必要分别制定细则，实现精准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二、制定的依据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《医疗保障基金使用监督管理条例》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《新疆维吾尔自治区社会信用条例》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《新疆维吾尔自治区 新疆生产建设兵团医疗保障信用管理办法》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《医疗保障定点医药机构相关人员医保支付资格管理经办规程（试行）》。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三、起草过程及征求意见情况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2026年3月，市医疗保障局牵头起草形成初稿，书面征求各区医疗保障局意见并修改完善。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按程序在市政府门户网站公开征求意见。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《细则》分别针对定点医药机构、相关从业人员（医师、药师、护士）、参保人员三类主体作出规定。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（一）定点医药机构：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等级分为A（≥90分）、B（75-89分）、C（60-74分）、D（＜60分）。评价指标涵盖协议履行（58%）、基金监管（27%）、社会信用（15%）。A级享受绿色通道、减少质保金预留；D级增加质保金预留、纳入联合惩戒。欺诈骗保、解除协议等直接评定为D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（二）相关从业人员：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行12分基准减分制，年度清零。信用等级分为A（9-12分）、B（6-8分）、C（3-5分）、D（0-2分）。C级暂停备案2个月、暂停处方权1个月；D级暂停备案2-6个月，累计减满12分取消1年资格，一次性减满12分终止资格且3年内不得备案。加分项一年内最多抵扣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（三）参保人员：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12分为基准，等级分为A（≥12分）、B（10-11分）、C（7-9分）、D（≤6分）。按违规程度差异化扣分：轻微违规扣1-2分，再次违规扣3分，骗取医保不予处罚扣5分，被行政处罚扣6分，达诈骗罪标准扣10分。C级复核近1年结算单据，D级复核近2年结算单据并视情通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克拉玛依市医疗保障局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5AC0"/>
    <w:rsid w:val="3DC52860"/>
    <w:rsid w:val="48F14F8D"/>
    <w:rsid w:val="52C17DD5"/>
    <w:rsid w:val="6445190A"/>
    <w:rsid w:val="75D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1175</Characters>
  <Lines>0</Lines>
  <Paragraphs>0</Paragraphs>
  <TotalTime>102</TotalTime>
  <ScaleCrop>false</ScaleCrop>
  <LinksUpToDate>false</LinksUpToDate>
  <CharactersWithSpaces>1177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2026-06-10T03:57:00Z</dcterms:created>
  <dc:creator>Administrator</dc:creator>
  <cp:lastModifiedBy>Administrator</cp:lastModifiedBy>
  <dcterms:modified xsi:type="dcterms:W3CDTF">2026-06-15T11:45:57Z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eyJoZGlkIjoiYWM4OTNkOTRlZjkyZjMzYjA3MjU0YmNkYmY5MjVhOGEiLCJ1c2VySWQiOiIzNDM1NzIxMzkifQ==</vt:lpwstr>
  </property>
  <property fmtid="{D5CDD505-2E9C-101B-9397-08002B2CF9AE}" pid="4" name="ICV">
    <vt:lpwstr>E4DEB57C80514865B1DFFBB4AEEA0C9E_12</vt:lpwstr>
  </property>
</Properties>
</file>