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Cs/>
          <w:color w:val="000000" w:themeColor="text1"/>
          <w:kern w:val="0"/>
          <w:sz w:val="32"/>
          <w:szCs w:val="32"/>
        </w:rPr>
        <w:t>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bCs/>
          <w:color w:val="000000" w:themeColor="text1"/>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bCs/>
          <w:color w:val="000000" w:themeColor="text1"/>
          <w:kern w:val="0"/>
          <w:sz w:val="44"/>
          <w:szCs w:val="44"/>
        </w:rPr>
      </w:pPr>
      <w:r>
        <w:rPr>
          <w:rFonts w:hint="eastAsia" w:ascii="方正小标宋简体" w:hAnsi="Times New Roman" w:eastAsia="方正小标宋简体" w:cs="Times New Roman"/>
          <w:bCs/>
          <w:color w:val="000000" w:themeColor="text1"/>
          <w:kern w:val="0"/>
          <w:sz w:val="44"/>
          <w:szCs w:val="44"/>
        </w:rPr>
        <w:t>克拉玛依市</w:t>
      </w:r>
      <w:r>
        <w:rPr>
          <w:rFonts w:hint="eastAsia" w:ascii="方正小标宋简体" w:hAnsi="Times New Roman" w:eastAsia="方正小标宋简体" w:cs="Times New Roman"/>
          <w:bCs/>
          <w:color w:val="000000" w:themeColor="text1"/>
          <w:kern w:val="0"/>
          <w:sz w:val="44"/>
          <w:szCs w:val="44"/>
          <w:lang w:eastAsia="zh-CN"/>
        </w:rPr>
        <w:t>工业和信息化局</w:t>
      </w:r>
      <w:r>
        <w:rPr>
          <w:rFonts w:hint="eastAsia" w:ascii="方正小标宋简体" w:hAnsi="Times New Roman" w:eastAsia="方正小标宋简体" w:cs="Times New Roman"/>
          <w:bCs/>
          <w:color w:val="000000" w:themeColor="text1"/>
          <w:kern w:val="0"/>
          <w:sz w:val="44"/>
          <w:szCs w:val="44"/>
        </w:rPr>
        <w:t>政府信息公开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000000" w:themeColor="text1"/>
          <w:kern w:val="0"/>
          <w:sz w:val="44"/>
          <w:szCs w:val="44"/>
        </w:rPr>
      </w:pPr>
      <w:r>
        <w:rPr>
          <w:rFonts w:hint="eastAsia" w:ascii="方正小标宋简体" w:hAnsi="Times New Roman" w:eastAsia="方正小标宋简体" w:cs="Times New Roman"/>
          <w:bCs/>
          <w:color w:val="000000" w:themeColor="text1"/>
          <w:kern w:val="0"/>
          <w:sz w:val="44"/>
          <w:szCs w:val="44"/>
        </w:rPr>
        <w:t>工作年度报告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一、总体情况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i w:val="0"/>
          <w:iCs w:val="0"/>
          <w:caps w:val="0"/>
          <w:color w:val="333333"/>
          <w:spacing w:val="0"/>
          <w:sz w:val="21"/>
          <w:szCs w:val="21"/>
        </w:rPr>
      </w:pPr>
      <w:r>
        <w:rPr>
          <w:rFonts w:ascii="楷体_GB2312" w:hAnsi="Times New Roman" w:eastAsia="楷体_GB2312" w:cs="楷体_GB2312"/>
          <w:i w:val="0"/>
          <w:iCs w:val="0"/>
          <w:caps w:val="0"/>
          <w:color w:val="333333"/>
          <w:spacing w:val="0"/>
          <w:kern w:val="0"/>
          <w:sz w:val="32"/>
          <w:szCs w:val="32"/>
          <w:shd w:val="clear" w:fill="FFFFFF"/>
          <w:lang w:val="en-US" w:eastAsia="zh-CN" w:bidi="ar"/>
        </w:rPr>
        <w:t>（一）主动公开信息情况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_GB2312" w:hAnsi="仿宋_GB2312" w:eastAsia="仿宋_GB2312" w:cs="仿宋_GB2312"/>
          <w:sz w:val="32"/>
          <w:szCs w:val="32"/>
        </w:rPr>
        <w:t>市工信局认真落实《</w:t>
      </w:r>
      <w:r>
        <w:rPr>
          <w:rFonts w:hint="eastAsia" w:ascii="仿宋_GB2312" w:hAnsi="仿宋_GB2312" w:eastAsia="仿宋_GB2312" w:cs="仿宋_GB2312"/>
          <w:sz w:val="32"/>
          <w:szCs w:val="32"/>
          <w:lang w:eastAsia="zh-CN"/>
        </w:rPr>
        <w:t>政府信息公开条例</w:t>
      </w:r>
      <w:r>
        <w:rPr>
          <w:rFonts w:hint="eastAsia" w:ascii="仿宋_GB2312" w:hAnsi="仿宋_GB2312" w:eastAsia="仿宋_GB2312" w:cs="仿宋_GB2312"/>
          <w:sz w:val="32"/>
          <w:szCs w:val="32"/>
        </w:rPr>
        <w:t>》（国务院令第711号）《国务院办公厅关于全面推进基层政务公开标准化规范化工作的指导意见》（国办发[2019]54号）《关于印发2022年政务公开和深化“放管服”改革重点任务落实评价指标的通知》等文件精神，认真履行政务公开职责，细致做好部门政务公开工作，</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不断提升主动公开信息的质量和时效，</w:t>
      </w:r>
      <w:r>
        <w:rPr>
          <w:rFonts w:hint="eastAsia" w:ascii="仿宋_GB2312" w:hAnsi="仿宋_GB2312" w:eastAsia="仿宋_GB2312" w:cs="仿宋_GB2312"/>
          <w:sz w:val="32"/>
          <w:szCs w:val="32"/>
        </w:rPr>
        <w:t>全面</w:t>
      </w:r>
      <w:r>
        <w:rPr>
          <w:rFonts w:hint="eastAsia" w:ascii="仿宋_GB2312" w:hAnsi="仿宋_GB2312" w:eastAsia="仿宋_GB2312" w:cs="仿宋_GB2312"/>
          <w:color w:val="auto"/>
          <w:sz w:val="32"/>
          <w:szCs w:val="32"/>
        </w:rPr>
        <w:t>完成了2022年度政务公开工作的各项任</w:t>
      </w:r>
      <w:bookmarkStart w:id="0" w:name="_GoBack"/>
      <w:bookmarkEnd w:id="0"/>
      <w:r>
        <w:rPr>
          <w:rFonts w:hint="eastAsia" w:ascii="仿宋_GB2312" w:hAnsi="仿宋_GB2312" w:eastAsia="仿宋_GB2312" w:cs="仿宋_GB2312"/>
          <w:color w:val="auto"/>
          <w:sz w:val="32"/>
          <w:szCs w:val="32"/>
        </w:rPr>
        <w:t>务。</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全年共主动公</w:t>
      </w:r>
      <w:r>
        <w:rPr>
          <w:rFonts w:hint="eastAsia" w:ascii="仿宋_GB2312" w:hAnsi="Times New Roman" w:eastAsia="仿宋_GB2312" w:cs="仿宋_GB2312"/>
          <w:i w:val="0"/>
          <w:iCs w:val="0"/>
          <w:caps w:val="0"/>
          <w:color w:val="auto"/>
          <w:spacing w:val="0"/>
          <w:kern w:val="0"/>
          <w:sz w:val="32"/>
          <w:szCs w:val="32"/>
          <w:highlight w:val="none"/>
          <w:shd w:val="clear" w:fill="FFFFFF"/>
          <w:lang w:val="en-US" w:eastAsia="zh-CN" w:bidi="ar"/>
        </w:rPr>
        <w:t>开22条政府信息</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，均在信息形成的</w:t>
      </w:r>
      <w:r>
        <w:rPr>
          <w:rFonts w:hint="default" w:ascii="Times New Roman" w:hAnsi="Times New Roman" w:cs="Times New Roman" w:eastAsiaTheme="minorEastAsia"/>
          <w:i w:val="0"/>
          <w:iCs w:val="0"/>
          <w:caps w:val="0"/>
          <w:color w:val="auto"/>
          <w:spacing w:val="0"/>
          <w:kern w:val="0"/>
          <w:sz w:val="32"/>
          <w:szCs w:val="32"/>
          <w:shd w:val="clear" w:fill="FFFFFF"/>
          <w:lang w:val="en-US" w:eastAsia="zh-CN" w:bidi="ar"/>
        </w:rPr>
        <w:t>20</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个工作日内公布，没有出现变更</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的政府信息。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Times New Roman" w:eastAsia="楷体_GB2312" w:cs="楷体_GB2312"/>
          <w:i w:val="0"/>
          <w:iCs w:val="0"/>
          <w:caps w:val="0"/>
          <w:color w:val="333333"/>
          <w:spacing w:val="0"/>
          <w:kern w:val="0"/>
          <w:sz w:val="32"/>
          <w:szCs w:val="32"/>
          <w:shd w:val="clear" w:fill="FFFFFF"/>
          <w:lang w:val="en-US" w:eastAsia="zh-CN" w:bidi="ar"/>
        </w:rPr>
      </w:pPr>
      <w:r>
        <w:rPr>
          <w:rFonts w:hint="default" w:ascii="楷体_GB2312" w:hAnsi="Times New Roman" w:eastAsia="楷体_GB2312" w:cs="楷体_GB2312"/>
          <w:i w:val="0"/>
          <w:iCs w:val="0"/>
          <w:caps w:val="0"/>
          <w:color w:val="333333"/>
          <w:spacing w:val="0"/>
          <w:kern w:val="0"/>
          <w:sz w:val="32"/>
          <w:szCs w:val="32"/>
          <w:shd w:val="clear" w:fill="FFFFFF"/>
          <w:lang w:val="en-US" w:eastAsia="zh-CN" w:bidi="ar"/>
        </w:rPr>
        <w:t>（二）依申请公开信息情况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通过市政府门户网站公开并及时更新部门工作职能、机构设置等等需要公开的信息，向社会公布本年度部门权责清单，主动公开《克拉玛依市支持中小企业“专精特新 ”健康发展工作实施方案》、《关于推进园区改革创新发展的意见》等政策文件及解读材料，公开《市工信局三项制度工作措施》和《市工业和信息化局工作人员应知应会法律法规清单》，公开了</w:t>
      </w:r>
      <w:r>
        <w:rPr>
          <w:rFonts w:ascii="仿宋_GB2312" w:hAnsi="仿宋_GB2312" w:eastAsia="仿宋_GB2312" w:cs="仿宋_GB2312"/>
          <w:sz w:val="32"/>
          <w:szCs w:val="32"/>
        </w:rPr>
        <w:t>本部门起草制定</w:t>
      </w:r>
      <w:r>
        <w:rPr>
          <w:rFonts w:hint="eastAsia" w:ascii="仿宋_GB2312" w:hAnsi="仿宋_GB2312" w:eastAsia="仿宋_GB2312" w:cs="仿宋_GB2312"/>
          <w:sz w:val="32"/>
          <w:szCs w:val="32"/>
        </w:rPr>
        <w:t>的《克拉玛依市工业高质量发展“十四五”规划》《克拉玛依市信息产业发展“十四五”规划》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《2022年克拉玛依市工业和信息化局预算公开》，及时公开人大建议和政协提案的答复情况。</w:t>
      </w:r>
      <w:r>
        <w:rPr>
          <w:rFonts w:hint="eastAsia" w:ascii="仿宋_GB2312" w:hAnsi="仿宋_GB2312" w:eastAsia="仿宋_GB2312" w:cs="仿宋_GB2312"/>
          <w:sz w:val="32"/>
          <w:szCs w:val="32"/>
          <w:lang w:val="en-US" w:eastAsia="zh-CN"/>
        </w:rPr>
        <w:t>2022年，未收到</w:t>
      </w:r>
      <w:r>
        <w:rPr>
          <w:rFonts w:hint="eastAsia" w:ascii="仿宋_GB2312" w:hAnsi="仿宋_GB2312" w:eastAsia="仿宋_GB2312" w:cs="仿宋_GB2312"/>
          <w:sz w:val="32"/>
          <w:szCs w:val="32"/>
        </w:rPr>
        <w:t>公民、法人或其他组织向本单位提交的政府信息公开申请</w:t>
      </w:r>
      <w:r>
        <w:rPr>
          <w:rFonts w:hint="eastAsia" w:ascii="仿宋_GB2312" w:hAnsi="仿宋_GB2312" w:eastAsia="仿宋_GB2312" w:cs="仿宋_GB2312"/>
          <w:sz w:val="32"/>
          <w:szCs w:val="32"/>
          <w:lang w:eastAsia="zh-CN"/>
        </w:rPr>
        <w:t>，不存在</w:t>
      </w:r>
      <w:r>
        <w:rPr>
          <w:rFonts w:hint="eastAsia" w:ascii="仿宋_GB2312" w:hAnsi="仿宋_GB2312" w:eastAsia="仿宋_GB2312" w:cs="仿宋_GB2312"/>
          <w:sz w:val="32"/>
          <w:szCs w:val="32"/>
        </w:rPr>
        <w:t>依申请公开案件引起行政复议或诉讼情况。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cs="Times New Roman"/>
          <w:i w:val="0"/>
          <w:iCs w:val="0"/>
          <w:caps w:val="0"/>
          <w:color w:val="333333"/>
          <w:spacing w:val="0"/>
          <w:sz w:val="21"/>
          <w:szCs w:val="21"/>
        </w:rPr>
      </w:pPr>
      <w:r>
        <w:rPr>
          <w:rFonts w:hint="default" w:ascii="楷体_GB2312" w:hAnsi="Times New Roman" w:eastAsia="楷体_GB2312" w:cs="楷体_GB2312"/>
          <w:i w:val="0"/>
          <w:iCs w:val="0"/>
          <w:caps w:val="0"/>
          <w:color w:val="333333"/>
          <w:spacing w:val="0"/>
          <w:kern w:val="0"/>
          <w:sz w:val="32"/>
          <w:szCs w:val="32"/>
          <w:shd w:val="clear" w:fill="FFFFFF"/>
          <w:lang w:val="en-US" w:eastAsia="zh-CN" w:bidi="ar"/>
        </w:rPr>
        <w:t>（三）政府信息管理情况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一是严格落实办文公开制度。坚持从源头入手，将信息公开纳入公文处理过程，各科室在制文时即提出公开范围及方式等初步意见，通过公文流转环节，层层审查把关，特别在公文审核环节，将公开审查作为重点内容之一，与公文内容、流转程序一并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二是严格落实保密审查制度。按照保密审查有关规定，确保政府信息公开保密审查工作制度化、规范化，坚持从源头入手，将保密审查程序与公文流转程序紧密结合，确保公开文件不涉密。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楷体_GB2312" w:hAnsi="Times New Roman" w:eastAsia="楷体_GB2312" w:cs="楷体_GB2312"/>
          <w:i w:val="0"/>
          <w:iCs w:val="0"/>
          <w:caps w:val="0"/>
          <w:color w:val="333333"/>
          <w:spacing w:val="0"/>
          <w:kern w:val="0"/>
          <w:sz w:val="32"/>
          <w:szCs w:val="32"/>
          <w:shd w:val="clear" w:fill="FFFFFF"/>
          <w:lang w:val="en-US" w:eastAsia="zh-CN" w:bidi="ar"/>
        </w:rPr>
      </w:pPr>
      <w:r>
        <w:rPr>
          <w:rFonts w:hint="default" w:ascii="楷体_GB2312" w:hAnsi="Times New Roman" w:eastAsia="楷体_GB2312" w:cs="楷体_GB2312"/>
          <w:i w:val="0"/>
          <w:iCs w:val="0"/>
          <w:caps w:val="0"/>
          <w:color w:val="333333"/>
          <w:spacing w:val="0"/>
          <w:kern w:val="0"/>
          <w:sz w:val="32"/>
          <w:szCs w:val="32"/>
          <w:shd w:val="clear" w:fill="FFFFFF"/>
          <w:lang w:val="en-US" w:eastAsia="zh-CN" w:bidi="ar"/>
        </w:rPr>
        <w:t>平台建设情况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xml:space="preserve"> 一是我局没有开设政务新媒体，着重在加强政府网站建设与管理上下功夫。我局</w:t>
      </w:r>
      <w:r>
        <w:rPr>
          <w:rFonts w:hint="eastAsia" w:ascii="仿宋_GB2312" w:hAnsi="仿宋_GB2312" w:eastAsia="仿宋_GB2312" w:cs="仿宋_GB2312"/>
          <w:sz w:val="32"/>
          <w:szCs w:val="32"/>
        </w:rPr>
        <w:t>认真对照《政务公开事项标准目录》和《政府门户网站栏目责任分工表》内容，按照规定时限要求及时更新维护市政府门户网站相关栏目，达到了每季度至少更新一条的要求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局办公室和信息科分别负责政务信息内容和政务网站维护的技术支持工作，既保证政务公开内容数量和质量，又保证承担的市政府网站平稳运行。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二是我局</w:t>
      </w:r>
      <w:r>
        <w:rPr>
          <w:rFonts w:hint="eastAsia" w:ascii="仿宋_GB2312" w:hAnsi="仿宋_GB2312" w:eastAsia="仿宋_GB2312" w:cs="仿宋_GB2312"/>
          <w:sz w:val="32"/>
          <w:szCs w:val="32"/>
        </w:rPr>
        <w:t>严格落实“三审三校”制度，未出现上传至市政府门户网站有错字、漏字、敏感字或发布内容不当、错误要求撤稿或被退回的情况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三是严格落实政府网站值班工作。</w:t>
      </w:r>
      <w:r>
        <w:rPr>
          <w:rFonts w:hint="eastAsia" w:ascii="Times New Roman" w:hAnsi="Times New Roman" w:eastAsia="仿宋_GB2312" w:cs="Times New Roman"/>
          <w:sz w:val="32"/>
          <w:szCs w:val="32"/>
        </w:rPr>
        <w:t>节假日按照要求落实政府网站值班值守工作</w:t>
      </w:r>
      <w:r>
        <w:rPr>
          <w:rFonts w:ascii="Times New Roman" w:hAnsi="Times New Roman" w:eastAsia="仿宋_GB2312" w:cs="Times New Roman"/>
          <w:sz w:val="32"/>
          <w:szCs w:val="32"/>
        </w:rPr>
        <w:t>，安排熟悉网站业务人员24小时现场值班，坚持读网查网，严禁安排无关人员顶班，值班领导通讯畅通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准备充足的网站值守应急力量，遇有突发事件，立即启动应急响应，按照应急保障预案妥善进行处置，确保政府网站运行安全稳定、信息不被篡改。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楷体_GB2312" w:hAnsi="Times New Roman" w:eastAsia="楷体_GB2312" w:cs="楷体_GB2312"/>
          <w:i w:val="0"/>
          <w:iCs w:val="0"/>
          <w:caps w:val="0"/>
          <w:color w:val="333333"/>
          <w:spacing w:val="0"/>
          <w:kern w:val="0"/>
          <w:sz w:val="32"/>
          <w:szCs w:val="32"/>
          <w:shd w:val="clear" w:fill="FFFFFF"/>
          <w:lang w:val="en-US" w:eastAsia="zh-CN" w:bidi="ar"/>
        </w:rPr>
      </w:pPr>
      <w:r>
        <w:rPr>
          <w:rFonts w:hint="eastAsia" w:ascii="楷体_GB2312" w:hAnsi="Times New Roman" w:eastAsia="楷体_GB2312" w:cs="楷体_GB2312"/>
          <w:i w:val="0"/>
          <w:iCs w:val="0"/>
          <w:caps w:val="0"/>
          <w:color w:val="333333"/>
          <w:spacing w:val="0"/>
          <w:kern w:val="0"/>
          <w:sz w:val="32"/>
          <w:szCs w:val="32"/>
          <w:shd w:val="clear" w:fill="FFFFFF"/>
          <w:lang w:val="en-US" w:eastAsia="zh-CN" w:bidi="ar"/>
        </w:rPr>
        <w:t>解读回应情况</w:t>
      </w:r>
    </w:p>
    <w:p>
      <w:pPr>
        <w:spacing w:line="560" w:lineRule="exact"/>
        <w:ind w:firstLine="640" w:firstLineChars="200"/>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对我局出台的政策《克拉玛依市支持中小企业“专精特新 ”健康发展工作实施方案》和《关于推进园区改革创新发展的意见》等政策采用图片、文字等多样型解读，并及时在政府门户网站公开。本年度共开展新闻发布会2次，并及时在门户网站公开新闻发布会情况。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二、主动公开政府信息情况</w:t>
      </w:r>
    </w:p>
    <w:tbl>
      <w:tblPr>
        <w:tblStyle w:val="4"/>
        <w:tblW w:w="9000" w:type="dxa"/>
        <w:jc w:val="center"/>
        <w:tblLayout w:type="autofit"/>
        <w:tblCellMar>
          <w:top w:w="0" w:type="dxa"/>
          <w:left w:w="0" w:type="dxa"/>
          <w:bottom w:w="0" w:type="dxa"/>
          <w:right w:w="0" w:type="dxa"/>
        </w:tblCellMar>
      </w:tblPr>
      <w:tblGrid>
        <w:gridCol w:w="1815"/>
        <w:gridCol w:w="2395"/>
        <w:gridCol w:w="2395"/>
        <w:gridCol w:w="2395"/>
      </w:tblGrid>
      <w:tr>
        <w:tblPrEx>
          <w:tblCellMar>
            <w:top w:w="0" w:type="dxa"/>
            <w:left w:w="0" w:type="dxa"/>
            <w:bottom w:w="0" w:type="dxa"/>
            <w:right w:w="0" w:type="dxa"/>
          </w:tblCellMar>
        </w:tblPrEx>
        <w:trPr>
          <w:trHeight w:val="619" w:hRule="atLeast"/>
          <w:jc w:val="center"/>
        </w:trPr>
        <w:tc>
          <w:tcPr>
            <w:tcW w:w="900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39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宋体"/>
                <w:kern w:val="0"/>
                <w:sz w:val="20"/>
                <w:szCs w:val="20"/>
              </w:rPr>
              <w:t>制</w:t>
            </w:r>
            <w:r>
              <w:rPr>
                <w:rFonts w:hint="eastAsia" w:ascii="宋体" w:hAnsi="宋体" w:eastAsia="宋体" w:cs="宋体"/>
                <w:kern w:val="0"/>
                <w:sz w:val="20"/>
                <w:szCs w:val="20"/>
              </w:rPr>
              <w:t>发件</w:t>
            </w:r>
            <w:r>
              <w:rPr>
                <w:rFonts w:ascii="宋体" w:hAnsi="宋体" w:eastAsia="宋体" w:cs="宋体"/>
                <w:kern w:val="0"/>
                <w:sz w:val="20"/>
                <w:szCs w:val="20"/>
              </w:rPr>
              <w:t>数</w:t>
            </w:r>
          </w:p>
        </w:tc>
        <w:tc>
          <w:tcPr>
            <w:tcW w:w="239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39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宋体"/>
                <w:kern w:val="0"/>
                <w:sz w:val="20"/>
                <w:szCs w:val="20"/>
              </w:rPr>
              <w:t>数</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3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3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3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3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3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39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CellMar>
            <w:top w:w="0" w:type="dxa"/>
            <w:left w:w="0" w:type="dxa"/>
            <w:bottom w:w="0" w:type="dxa"/>
            <w:right w:w="0" w:type="dxa"/>
          </w:tblCellMar>
        </w:tblPrEx>
        <w:trPr>
          <w:trHeight w:val="619" w:hRule="atLeast"/>
          <w:jc w:val="center"/>
        </w:trPr>
        <w:tc>
          <w:tcPr>
            <w:tcW w:w="9000" w:type="dxa"/>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18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18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19" w:hRule="atLeast"/>
          <w:jc w:val="center"/>
        </w:trPr>
        <w:tc>
          <w:tcPr>
            <w:tcW w:w="9000" w:type="dxa"/>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18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18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18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19" w:hRule="atLeast"/>
          <w:jc w:val="center"/>
        </w:trPr>
        <w:tc>
          <w:tcPr>
            <w:tcW w:w="9000" w:type="dxa"/>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18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619" w:hRule="atLeast"/>
          <w:jc w:val="center"/>
        </w:trPr>
        <w:tc>
          <w:tcPr>
            <w:tcW w:w="181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18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备注：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克拉玛依市支持中小企业“专精特新 ”健康发展工作实施方案》</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《关于推进园区改革创新发展的意见》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三、收到和处理政府信息公开申请情况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p>
    <w:tbl>
      <w:tblPr>
        <w:tblStyle w:val="4"/>
        <w:tblW w:w="9238" w:type="dxa"/>
        <w:jc w:val="center"/>
        <w:tblLayout w:type="autofit"/>
        <w:tblCellMar>
          <w:top w:w="0" w:type="dxa"/>
          <w:left w:w="0" w:type="dxa"/>
          <w:bottom w:w="0" w:type="dxa"/>
          <w:right w:w="0" w:type="dxa"/>
        </w:tblCellMar>
      </w:tblPr>
      <w:tblGrid>
        <w:gridCol w:w="514"/>
        <w:gridCol w:w="941"/>
        <w:gridCol w:w="3072"/>
        <w:gridCol w:w="673"/>
        <w:gridCol w:w="673"/>
        <w:gridCol w:w="673"/>
        <w:gridCol w:w="673"/>
        <w:gridCol w:w="673"/>
        <w:gridCol w:w="673"/>
        <w:gridCol w:w="673"/>
      </w:tblGrid>
      <w:tr>
        <w:tblPrEx>
          <w:tblCellMar>
            <w:top w:w="0" w:type="dxa"/>
            <w:left w:w="0" w:type="dxa"/>
            <w:bottom w:w="0" w:type="dxa"/>
            <w:right w:w="0" w:type="dxa"/>
          </w:tblCellMar>
        </w:tblPrEx>
        <w:trPr>
          <w:trHeight w:val="360" w:hRule="atLeast"/>
          <w:jc w:val="center"/>
        </w:trPr>
        <w:tc>
          <w:tcPr>
            <w:tcW w:w="4527"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711"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trHeight w:val="166" w:hRule="atLeast"/>
          <w:jc w:val="center"/>
        </w:trPr>
        <w:tc>
          <w:tcPr>
            <w:tcW w:w="4527"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673"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自然人</w:t>
            </w:r>
          </w:p>
        </w:tc>
        <w:tc>
          <w:tcPr>
            <w:tcW w:w="3365"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73"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trHeight w:val="166" w:hRule="atLeast"/>
          <w:jc w:val="center"/>
        </w:trPr>
        <w:tc>
          <w:tcPr>
            <w:tcW w:w="4527"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企业</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机构</w:t>
            </w:r>
          </w:p>
        </w:tc>
        <w:tc>
          <w:tcPr>
            <w:tcW w:w="67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7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7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r>
      <w:tr>
        <w:tblPrEx>
          <w:tblCellMar>
            <w:top w:w="0" w:type="dxa"/>
            <w:left w:w="0" w:type="dxa"/>
            <w:bottom w:w="0" w:type="dxa"/>
            <w:right w:w="0" w:type="dxa"/>
          </w:tblCellMar>
        </w:tblPrEx>
        <w:trPr>
          <w:trHeight w:val="377" w:hRule="atLeast"/>
          <w:jc w:val="center"/>
        </w:trPr>
        <w:tc>
          <w:tcPr>
            <w:tcW w:w="452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360" w:hRule="atLeast"/>
          <w:jc w:val="center"/>
        </w:trPr>
        <w:tc>
          <w:tcPr>
            <w:tcW w:w="452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360" w:hRule="atLeast"/>
          <w:jc w:val="center"/>
        </w:trPr>
        <w:tc>
          <w:tcPr>
            <w:tcW w:w="514"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01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401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1"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1"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347"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1"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901"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1"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072"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072"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3.其他</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166" w:hRule="atLeast"/>
          <w:jc w:val="center"/>
        </w:trPr>
        <w:tc>
          <w:tcPr>
            <w:tcW w:w="514"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401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（七）总计</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377" w:hRule="atLeast"/>
          <w:jc w:val="center"/>
        </w:trPr>
        <w:tc>
          <w:tcPr>
            <w:tcW w:w="452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7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bCs/>
          <w:color w:val="333333"/>
          <w:kern w:val="0"/>
          <w:sz w:val="32"/>
          <w:szCs w:val="32"/>
        </w:rPr>
        <w:t>四、政府信息公开行政复议、行政诉讼情况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color w:val="333333"/>
          <w:kern w:val="0"/>
          <w:sz w:val="24"/>
          <w:szCs w:val="24"/>
        </w:rPr>
      </w:pPr>
    </w:p>
    <w:tbl>
      <w:tblPr>
        <w:tblStyle w:val="4"/>
        <w:tblW w:w="9523" w:type="dxa"/>
        <w:jc w:val="center"/>
        <w:tblLayout w:type="autofit"/>
        <w:tblCellMar>
          <w:top w:w="0" w:type="dxa"/>
          <w:left w:w="0" w:type="dxa"/>
          <w:bottom w:w="0" w:type="dxa"/>
          <w:right w:w="0" w:type="dxa"/>
        </w:tblCellMar>
      </w:tblPr>
      <w:tblGrid>
        <w:gridCol w:w="634"/>
        <w:gridCol w:w="634"/>
        <w:gridCol w:w="634"/>
        <w:gridCol w:w="634"/>
        <w:gridCol w:w="635"/>
        <w:gridCol w:w="634"/>
        <w:gridCol w:w="634"/>
        <w:gridCol w:w="635"/>
        <w:gridCol w:w="635"/>
        <w:gridCol w:w="635"/>
        <w:gridCol w:w="635"/>
        <w:gridCol w:w="635"/>
        <w:gridCol w:w="635"/>
        <w:gridCol w:w="635"/>
        <w:gridCol w:w="633"/>
        <w:gridCol w:w="6"/>
      </w:tblGrid>
      <w:tr>
        <w:trPr>
          <w:gridAfter w:val="1"/>
          <w:wAfter w:w="6" w:type="dxa"/>
          <w:trHeight w:val="581" w:hRule="atLeast"/>
          <w:jc w:val="center"/>
        </w:trPr>
        <w:tc>
          <w:tcPr>
            <w:tcW w:w="317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344"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gridAfter w:val="1"/>
          <w:wAfter w:w="4" w:type="dxa"/>
          <w:trHeight w:val="581" w:hRule="atLeast"/>
          <w:jc w:val="center"/>
        </w:trPr>
        <w:tc>
          <w:tcPr>
            <w:tcW w:w="6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3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3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3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c>
          <w:tcPr>
            <w:tcW w:w="3171"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17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trHeight w:val="14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3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84" w:hRule="atLeast"/>
          <w:jc w:val="center"/>
        </w:trPr>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color w:val="333333"/>
          <w:kern w:val="0"/>
          <w:sz w:val="32"/>
          <w:szCs w:val="32"/>
        </w:rPr>
      </w:pPr>
      <w:r>
        <w:rPr>
          <w:rFonts w:hint="eastAsia" w:ascii="黑体" w:hAnsi="黑体" w:eastAsia="黑体" w:cs="宋体"/>
          <w:bCs/>
          <w:color w:val="333333"/>
          <w:kern w:val="0"/>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虽然市工信局在信息公开工作方面做了大量的工作，但还存在一些问题与不足，主要表现在：一是信息公开流程有待进一步规范，信息公开目录还不够细化；二是信息公开内容与公众需求存在一定差距；三是网上信息服务功能及服务的效率有待进一步增强和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今后，我们将重点从以下方面进行改进：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一是努力规范工作流程。进一步梳理所掌握的政府信息，及时提供，定期维护，确保政府信息公开工作能按照既定的工作流程有效运作，公众能够方便查询。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二是进一步充实信息公开内容，突出重点、热点和难点问题。把群众最关心、反应最强烈的事项作为政府信息公开的主要内容，切实发挥好信息公开平台的桥梁作用。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仿宋_GB2312" w:hAnsi="宋体" w:eastAsia="仿宋_GB2312" w:cs="宋体"/>
          <w:b/>
          <w:bCs/>
          <w:color w:val="333333"/>
          <w:kern w:val="0"/>
          <w:sz w:val="32"/>
          <w:szCs w:val="32"/>
        </w:rPr>
      </w:pPr>
      <w:r>
        <w:rPr>
          <w:rFonts w:hint="eastAsia" w:ascii="Times New Roman" w:hAnsi="Times New Roman" w:eastAsia="仿宋_GB2312" w:cs="Times New Roman"/>
          <w:sz w:val="32"/>
          <w:szCs w:val="32"/>
        </w:rPr>
        <w:t>三是加强学习培训，提高政府信息公开水平。制定年度学习培训计划，每年有重点、有侧重地开展学习培训。积极参加上级举办的信息公开相关专题培训，提高业务水平。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bCs/>
          <w:color w:val="333333"/>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default"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000000" w:themeColor="text1"/>
          <w:kern w:val="0"/>
          <w:sz w:val="32"/>
          <w:szCs w:val="32"/>
          <w:lang w:val="en-US" w:eastAsia="zh-CN"/>
        </w:rPr>
      </w:pPr>
      <w:r>
        <w:rPr>
          <w:rFonts w:hint="eastAsia" w:ascii="仿宋_GB2312" w:hAnsi="Times New Roman" w:eastAsia="仿宋_GB2312" w:cs="Times New Roman"/>
          <w:color w:val="000000" w:themeColor="text1"/>
          <w:kern w:val="0"/>
          <w:sz w:val="32"/>
          <w:szCs w:val="32"/>
          <w:lang w:val="en-US" w:eastAsia="zh-CN"/>
        </w:rPr>
        <w:t xml:space="preserve">                      克拉玛依市工业和信息化局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default" w:ascii="仿宋_GB2312" w:hAnsi="Times New Roman" w:eastAsia="仿宋_GB2312" w:cs="Times New Roman"/>
          <w:color w:val="000000" w:themeColor="text1"/>
          <w:kern w:val="0"/>
          <w:sz w:val="32"/>
          <w:szCs w:val="32"/>
          <w:lang w:val="en-US" w:eastAsia="zh-CN"/>
        </w:rPr>
      </w:pPr>
      <w:r>
        <w:rPr>
          <w:rFonts w:hint="eastAsia" w:ascii="仿宋_GB2312" w:hAnsi="Times New Roman" w:eastAsia="仿宋_GB2312" w:cs="Times New Roman"/>
          <w:color w:val="000000" w:themeColor="text1"/>
          <w:kern w:val="0"/>
          <w:sz w:val="32"/>
          <w:szCs w:val="32"/>
          <w:lang w:val="en-US" w:eastAsia="zh-CN"/>
        </w:rPr>
        <w:t xml:space="preserve">                            2023年1月4日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Times New Roman" w:eastAsia="仿宋_GB2312" w:cs="Times New Roman"/>
          <w:color w:val="000000" w:themeColor="text1"/>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91145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4C1D"/>
    <w:multiLevelType w:val="singleLevel"/>
    <w:tmpl w:val="42FE4C1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4664"/>
    <w:rsid w:val="0003152C"/>
    <w:rsid w:val="00063CF8"/>
    <w:rsid w:val="000737C7"/>
    <w:rsid w:val="000D6543"/>
    <w:rsid w:val="000D79DF"/>
    <w:rsid w:val="001B5B1D"/>
    <w:rsid w:val="001B7C2F"/>
    <w:rsid w:val="001E618B"/>
    <w:rsid w:val="00283295"/>
    <w:rsid w:val="002F0EE3"/>
    <w:rsid w:val="003B0032"/>
    <w:rsid w:val="004B3180"/>
    <w:rsid w:val="00501C92"/>
    <w:rsid w:val="005D5256"/>
    <w:rsid w:val="00643EA4"/>
    <w:rsid w:val="00685C2D"/>
    <w:rsid w:val="006A4664"/>
    <w:rsid w:val="00737D04"/>
    <w:rsid w:val="007A27BF"/>
    <w:rsid w:val="007A4A7C"/>
    <w:rsid w:val="007C1137"/>
    <w:rsid w:val="007E3E41"/>
    <w:rsid w:val="007F0911"/>
    <w:rsid w:val="00817E46"/>
    <w:rsid w:val="0085486B"/>
    <w:rsid w:val="00854C32"/>
    <w:rsid w:val="00875BD9"/>
    <w:rsid w:val="009D124A"/>
    <w:rsid w:val="00A424C7"/>
    <w:rsid w:val="00AA5F73"/>
    <w:rsid w:val="00C141D6"/>
    <w:rsid w:val="00CA14DD"/>
    <w:rsid w:val="00D2451D"/>
    <w:rsid w:val="00E00C2B"/>
    <w:rsid w:val="00E469CB"/>
    <w:rsid w:val="00F304FF"/>
    <w:rsid w:val="00F6073B"/>
    <w:rsid w:val="00F71C23"/>
    <w:rsid w:val="00FF2BC9"/>
    <w:rsid w:val="01E82CEA"/>
    <w:rsid w:val="09F60B1F"/>
    <w:rsid w:val="107F540E"/>
    <w:rsid w:val="11AF79C1"/>
    <w:rsid w:val="19C571FE"/>
    <w:rsid w:val="1A3E39BB"/>
    <w:rsid w:val="1B7D7D78"/>
    <w:rsid w:val="1E466E4A"/>
    <w:rsid w:val="22547E05"/>
    <w:rsid w:val="22AE1B0E"/>
    <w:rsid w:val="2E8741F6"/>
    <w:rsid w:val="359C39EC"/>
    <w:rsid w:val="3988327C"/>
    <w:rsid w:val="3C092D3C"/>
    <w:rsid w:val="3D1D0CE5"/>
    <w:rsid w:val="440D47ED"/>
    <w:rsid w:val="44624A08"/>
    <w:rsid w:val="44723B76"/>
    <w:rsid w:val="4C7440AA"/>
    <w:rsid w:val="50F23AB3"/>
    <w:rsid w:val="528877D7"/>
    <w:rsid w:val="5D545660"/>
    <w:rsid w:val="68B8588D"/>
    <w:rsid w:val="6AC871E1"/>
    <w:rsid w:val="72FB0A30"/>
    <w:rsid w:val="758526DA"/>
    <w:rsid w:val="76F645C6"/>
    <w:rsid w:val="79DC4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Company>
  <Pages>3</Pages>
  <Words>206</Words>
  <Characters>1176</Characters>
  <Lines>9</Lines>
  <Paragraphs>2</Paragraphs>
  <TotalTime>1</TotalTime>
  <ScaleCrop>false</ScaleCrop>
  <LinksUpToDate>false</LinksUpToDate>
  <CharactersWithSpaces>1380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2019-12-04T10:32:00Z</dcterms:created>
  <dc:creator>IT Division</dc:creator>
  <cp:lastModifiedBy>鱼骨头</cp:lastModifiedBy>
  <dcterms:modified xsi:type="dcterms:W3CDTF">2024-11-11T08:32:50Z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F91308F2041F4C4089F6DB0BF8DB56D9</vt:lpwstr>
  </property>
</Properties>
</file>